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D59B" w14:textId="172E3ED6" w:rsidR="00AD460D" w:rsidRPr="00C13E11" w:rsidRDefault="00263D76" w:rsidP="00AD460D">
      <w:pPr>
        <w:pStyle w:val="Titre"/>
        <w:rPr>
          <w:sz w:val="32"/>
        </w:rPr>
      </w:pPr>
      <w:r>
        <w:rPr>
          <w:sz w:val="32"/>
        </w:rPr>
        <w:t>Projet de règlement modifiant le</w:t>
      </w:r>
      <w:r w:rsidR="00AD460D" w:rsidRPr="00C13E11">
        <w:rPr>
          <w:sz w:val="32"/>
        </w:rPr>
        <w:t xml:space="preserve"> Règlement d’application de la Loi sur les arrangements préalables </w:t>
      </w:r>
    </w:p>
    <w:p w14:paraId="13406DF5" w14:textId="5C18E628" w:rsidR="00AD460D" w:rsidRPr="00C13E11" w:rsidRDefault="00AD460D" w:rsidP="00AD460D">
      <w:pPr>
        <w:pStyle w:val="Titre"/>
        <w:rPr>
          <w:sz w:val="32"/>
        </w:rPr>
      </w:pPr>
      <w:proofErr w:type="gramStart"/>
      <w:r w:rsidRPr="00C13E11">
        <w:rPr>
          <w:sz w:val="32"/>
        </w:rPr>
        <w:t>de</w:t>
      </w:r>
      <w:proofErr w:type="gramEnd"/>
      <w:r w:rsidRPr="00C13E11">
        <w:rPr>
          <w:sz w:val="32"/>
        </w:rPr>
        <w:t xml:space="preserve"> services funéraires et de sépulture</w:t>
      </w:r>
      <w:r w:rsidR="00263D76">
        <w:rPr>
          <w:sz w:val="32"/>
        </w:rPr>
        <w:t xml:space="preserve"> (RAPSFS)</w:t>
      </w:r>
    </w:p>
    <w:p w14:paraId="29C710E5" w14:textId="478F3487" w:rsidR="00AD460D" w:rsidRPr="00C13E11" w:rsidRDefault="00AD460D" w:rsidP="00AD460D">
      <w:pPr>
        <w:jc w:val="center"/>
        <w:rPr>
          <w:b/>
          <w:sz w:val="32"/>
          <w:szCs w:val="32"/>
        </w:rPr>
      </w:pPr>
      <w:r w:rsidRPr="00C13E11">
        <w:rPr>
          <w:b/>
          <w:sz w:val="32"/>
          <w:szCs w:val="32"/>
        </w:rPr>
        <w:t>Document de consultation</w:t>
      </w:r>
      <w:r w:rsidR="00C830E4">
        <w:rPr>
          <w:b/>
          <w:sz w:val="32"/>
          <w:szCs w:val="32"/>
        </w:rPr>
        <w:t xml:space="preserve"> – </w:t>
      </w:r>
      <w:r w:rsidR="00EA6CE4">
        <w:rPr>
          <w:b/>
          <w:sz w:val="32"/>
          <w:szCs w:val="32"/>
        </w:rPr>
        <w:t>Prépublication à la Gazette officielle du Québec</w:t>
      </w:r>
    </w:p>
    <w:p w14:paraId="54DFE035" w14:textId="30CF26F6" w:rsidR="00B72A14" w:rsidRPr="00B72A14" w:rsidRDefault="00EA6CE4" w:rsidP="00B72A14">
      <w:pPr>
        <w:jc w:val="center"/>
      </w:pPr>
      <w:r>
        <w:t>24 juillet</w:t>
      </w:r>
      <w:r w:rsidR="00486710">
        <w:t xml:space="preserve"> 2019</w:t>
      </w:r>
    </w:p>
    <w:p w14:paraId="514BEEA6" w14:textId="1E8B2B76" w:rsidR="00902FCD" w:rsidRDefault="003B1E27" w:rsidP="00C96C69">
      <w:pPr>
        <w:pStyle w:val="Titre1"/>
      </w:pPr>
      <w:r>
        <w:t>Propositions de modification</w:t>
      </w:r>
      <w:r w:rsidR="00902FCD">
        <w:t xml:space="preserve"> au RAPSF</w:t>
      </w:r>
      <w:r w:rsidR="003769BB">
        <w:t>S</w:t>
      </w:r>
    </w:p>
    <w:p w14:paraId="099F4B9F" w14:textId="3B3F644A" w:rsidR="007752AF" w:rsidRPr="00977A6C" w:rsidRDefault="007752AF" w:rsidP="00977A6C">
      <w:pPr>
        <w:ind w:right="540"/>
        <w:rPr>
          <w:rFonts w:cstheme="minorHAnsi"/>
        </w:rPr>
      </w:pPr>
      <w:r w:rsidRPr="005C0803">
        <w:rPr>
          <w:rFonts w:cstheme="minorHAnsi"/>
        </w:rPr>
        <w:t xml:space="preserve">Vous trouverez ci-dessous les </w:t>
      </w:r>
      <w:r>
        <w:rPr>
          <w:rFonts w:cstheme="minorHAnsi"/>
        </w:rPr>
        <w:t xml:space="preserve">principales </w:t>
      </w:r>
      <w:r w:rsidR="00263D76">
        <w:rPr>
          <w:rFonts w:cstheme="minorHAnsi"/>
        </w:rPr>
        <w:t>mesures</w:t>
      </w:r>
      <w:r w:rsidRPr="005C0803">
        <w:rPr>
          <w:rFonts w:cstheme="minorHAnsi"/>
        </w:rPr>
        <w:t xml:space="preserve"> </w:t>
      </w:r>
      <w:r w:rsidR="00263D76">
        <w:rPr>
          <w:rFonts w:cstheme="minorHAnsi"/>
        </w:rPr>
        <w:t xml:space="preserve">tirées du projet de règlement modifiant le Règlement d’application de la Loi sur les arrangements de services funéraires et de sépulture (RAPSFS), projet de règlement qui fait l’objet d’une consultation publique à la </w:t>
      </w:r>
      <w:r w:rsidR="00263D76" w:rsidRPr="00263D76">
        <w:rPr>
          <w:rFonts w:cstheme="minorHAnsi"/>
          <w:i/>
          <w:iCs/>
        </w:rPr>
        <w:t>Gazette officielle du Québec</w:t>
      </w:r>
      <w:r w:rsidR="00263D76">
        <w:rPr>
          <w:rFonts w:cstheme="minorHAnsi"/>
        </w:rPr>
        <w:t xml:space="preserve"> depuis le 24 juillet 2019. Nous vous invitons à formuler vos commentaires dans la colonne de droite et à les adresser</w:t>
      </w:r>
      <w:r w:rsidR="00C1225A">
        <w:rPr>
          <w:rFonts w:cstheme="minorHAnsi"/>
        </w:rPr>
        <w:t>,</w:t>
      </w:r>
      <w:r w:rsidR="00263D76">
        <w:rPr>
          <w:rFonts w:cstheme="minorHAnsi"/>
        </w:rPr>
        <w:t xml:space="preserve"> </w:t>
      </w:r>
      <w:r w:rsidR="00C1225A">
        <w:rPr>
          <w:rFonts w:cstheme="minorHAnsi"/>
        </w:rPr>
        <w:t xml:space="preserve">avant le 7 septembre, </w:t>
      </w:r>
      <w:r w:rsidR="00263D76">
        <w:rPr>
          <w:rFonts w:cstheme="minorHAnsi"/>
        </w:rPr>
        <w:t xml:space="preserve">à Me Valérie Roy, à l’adresse suivante : </w:t>
      </w:r>
      <w:hyperlink r:id="rId8" w:history="1">
        <w:r w:rsidR="00263D76" w:rsidRPr="008504D3">
          <w:rPr>
            <w:rStyle w:val="Lienhypertexte"/>
            <w:rFonts w:cstheme="minorHAnsi"/>
          </w:rPr>
          <w:t>valerie.roy@opc.gouv.qc.ca</w:t>
        </w:r>
      </w:hyperlink>
      <w:r w:rsidR="00FD2701">
        <w:rPr>
          <w:rFonts w:cstheme="minorHAnsi"/>
        </w:rPr>
        <w:t>.</w:t>
      </w:r>
    </w:p>
    <w:tbl>
      <w:tblPr>
        <w:tblStyle w:val="Grilledutableau"/>
        <w:tblpPr w:leftFromText="141" w:rightFromText="141" w:vertAnchor="text" w:tblpY="1"/>
        <w:tblOverlap w:val="never"/>
        <w:tblW w:w="17275" w:type="dxa"/>
        <w:tblLook w:val="04A0" w:firstRow="1" w:lastRow="0" w:firstColumn="1" w:lastColumn="0" w:noHBand="0" w:noVBand="1"/>
      </w:tblPr>
      <w:tblGrid>
        <w:gridCol w:w="1615"/>
        <w:gridCol w:w="7110"/>
        <w:gridCol w:w="8550"/>
      </w:tblGrid>
      <w:tr w:rsidR="008378E9" w14:paraId="4AA44ADE" w14:textId="37D04F31" w:rsidTr="00F26FDD">
        <w:trPr>
          <w:tblHeader/>
        </w:trPr>
        <w:tc>
          <w:tcPr>
            <w:tcW w:w="1615" w:type="dxa"/>
            <w:shd w:val="clear" w:color="auto" w:fill="F2F2F2" w:themeFill="background1" w:themeFillShade="F2"/>
          </w:tcPr>
          <w:p w14:paraId="3F24CC9B" w14:textId="083364ED" w:rsidR="008378E9" w:rsidRDefault="008378E9" w:rsidP="00DB047B">
            <w:pPr>
              <w:rPr>
                <w:b/>
              </w:rPr>
            </w:pPr>
            <w:r>
              <w:rPr>
                <w:b/>
              </w:rPr>
              <w:t>Sujet</w:t>
            </w:r>
            <w:r w:rsidR="00977A6C">
              <w:rPr>
                <w:b/>
              </w:rPr>
              <w:t>s</w:t>
            </w:r>
          </w:p>
          <w:p w14:paraId="01CA38D8" w14:textId="77777777" w:rsidR="008378E9" w:rsidRPr="005F12DE" w:rsidRDefault="008378E9" w:rsidP="00DB047B">
            <w:pPr>
              <w:rPr>
                <w:b/>
              </w:rPr>
            </w:pPr>
          </w:p>
        </w:tc>
        <w:tc>
          <w:tcPr>
            <w:tcW w:w="7110" w:type="dxa"/>
            <w:shd w:val="clear" w:color="auto" w:fill="F2F2F2" w:themeFill="background1" w:themeFillShade="F2"/>
          </w:tcPr>
          <w:p w14:paraId="45F3647A" w14:textId="77777777" w:rsidR="008378E9" w:rsidRPr="005F12DE" w:rsidRDefault="008378E9" w:rsidP="00DB047B">
            <w:pPr>
              <w:rPr>
                <w:b/>
              </w:rPr>
            </w:pPr>
            <w:r>
              <w:rPr>
                <w:b/>
              </w:rPr>
              <w:t>Mesures</w:t>
            </w:r>
          </w:p>
        </w:tc>
        <w:tc>
          <w:tcPr>
            <w:tcW w:w="8550" w:type="dxa"/>
            <w:shd w:val="clear" w:color="auto" w:fill="F2F2F2" w:themeFill="background1" w:themeFillShade="F2"/>
          </w:tcPr>
          <w:p w14:paraId="25626408" w14:textId="77777777" w:rsidR="008378E9" w:rsidRPr="005F12DE" w:rsidRDefault="008378E9" w:rsidP="00DB047B">
            <w:pPr>
              <w:rPr>
                <w:b/>
              </w:rPr>
            </w:pPr>
            <w:r>
              <w:rPr>
                <w:b/>
              </w:rPr>
              <w:t>Commentaires</w:t>
            </w:r>
          </w:p>
        </w:tc>
      </w:tr>
      <w:tr w:rsidR="008378E9" w14:paraId="5864C7E0" w14:textId="7B74BDD9" w:rsidTr="00F26FDD">
        <w:tc>
          <w:tcPr>
            <w:tcW w:w="1615" w:type="dxa"/>
          </w:tcPr>
          <w:p w14:paraId="1BD8F6D3" w14:textId="0D91FB39" w:rsidR="008378E9" w:rsidRDefault="008378E9" w:rsidP="002C210E">
            <w:pPr>
              <w:jc w:val="left"/>
            </w:pPr>
            <w:r>
              <w:t>Forme des contrats conclus après décès</w:t>
            </w:r>
            <w:r w:rsidR="00EC1783">
              <w:t> </w:t>
            </w:r>
            <w:r>
              <w:t xml:space="preserve">– mention obligatoire, </w:t>
            </w:r>
            <w:r w:rsidRPr="0090140A">
              <w:t>liste de prix (</w:t>
            </w:r>
            <w:r w:rsidR="00AB55C2" w:rsidRPr="0090140A">
              <w:t>ar</w:t>
            </w:r>
            <w:r w:rsidR="00AB55C2">
              <w:t>t.</w:t>
            </w:r>
            <w:r w:rsidR="00690742">
              <w:t xml:space="preserve"> </w:t>
            </w:r>
            <w:r w:rsidR="00AB55C2">
              <w:t>2 et 5)</w:t>
            </w:r>
          </w:p>
          <w:p w14:paraId="6D81BDC3" w14:textId="77777777" w:rsidR="008378E9" w:rsidRDefault="008378E9" w:rsidP="00DB047B"/>
        </w:tc>
        <w:tc>
          <w:tcPr>
            <w:tcW w:w="7110" w:type="dxa"/>
          </w:tcPr>
          <w:p w14:paraId="2559DC20" w14:textId="77777777" w:rsidR="008378E9" w:rsidRDefault="008378E9" w:rsidP="00DB047B">
            <w:r>
              <w:t>Ajout d’une mention obligatoire :</w:t>
            </w:r>
          </w:p>
          <w:p w14:paraId="035E7BE4" w14:textId="77777777" w:rsidR="008378E9" w:rsidRDefault="008378E9" w:rsidP="00DB047B"/>
          <w:p w14:paraId="5AC37926" w14:textId="77777777" w:rsidR="008378E9" w:rsidRDefault="008378E9" w:rsidP="00DB047B">
            <w:r>
              <w:t>« Mention exigée par la Loi sur les arrangements de services funéraires et de sépulture</w:t>
            </w:r>
          </w:p>
          <w:p w14:paraId="180B7DCD" w14:textId="77777777" w:rsidR="008378E9" w:rsidRDefault="008378E9" w:rsidP="00DB047B"/>
          <w:p w14:paraId="0BE5D088" w14:textId="77777777" w:rsidR="008378E9" w:rsidRDefault="008378E9" w:rsidP="007B041F">
            <w:r>
              <w:t>Le vendeur doit mettre à la disposition du public, en tout temps et à chacun de ses établissements, une liste à jour du prix de chaque bien et de chaque service qu’il offre. »</w:t>
            </w:r>
          </w:p>
          <w:p w14:paraId="0A7DA795" w14:textId="77777777" w:rsidR="008378E9" w:rsidRDefault="008378E9" w:rsidP="007B041F"/>
          <w:p w14:paraId="1192BF1F" w14:textId="5AACB272" w:rsidR="008378E9" w:rsidRDefault="008378E9" w:rsidP="009B0A83">
            <w:pPr>
              <w:spacing w:after="240"/>
            </w:pPr>
            <w:r>
              <w:t>Cette mention</w:t>
            </w:r>
            <w:r w:rsidR="009F6EDB">
              <w:t xml:space="preserve"> obligatoire</w:t>
            </w:r>
            <w:r>
              <w:t>, comme les autres que comporte le contrat, devra satisfaire aux règles prévues à l’article 3 du RAPSFS, dont :</w:t>
            </w:r>
          </w:p>
          <w:p w14:paraId="45BAC062" w14:textId="77777777" w:rsidR="008378E9" w:rsidRDefault="008378E9" w:rsidP="00DB047B">
            <w:pPr>
              <w:pStyle w:val="Paragraphedeliste"/>
              <w:numPr>
                <w:ilvl w:val="0"/>
                <w:numId w:val="15"/>
              </w:numPr>
              <w:spacing w:after="0" w:line="240" w:lineRule="auto"/>
            </w:pPr>
            <w:r>
              <w:t>Caractère équivalent à du Times Médium;</w:t>
            </w:r>
          </w:p>
          <w:p w14:paraId="28734B51" w14:textId="044F3400" w:rsidR="008378E9" w:rsidRDefault="008378E9" w:rsidP="00DB047B">
            <w:pPr>
              <w:pStyle w:val="Paragraphedeliste"/>
              <w:numPr>
                <w:ilvl w:val="0"/>
                <w:numId w:val="15"/>
              </w:numPr>
              <w:spacing w:after="0" w:line="240" w:lineRule="auto"/>
            </w:pPr>
            <w:r>
              <w:t>Taille d’au moins 12 points;</w:t>
            </w:r>
          </w:p>
          <w:p w14:paraId="6A1D227D" w14:textId="77777777" w:rsidR="008378E9" w:rsidRDefault="008378E9" w:rsidP="00484369">
            <w:pPr>
              <w:pStyle w:val="Paragraphedeliste"/>
              <w:numPr>
                <w:ilvl w:val="0"/>
                <w:numId w:val="15"/>
              </w:numPr>
              <w:spacing w:after="120" w:line="240" w:lineRule="auto"/>
            </w:pPr>
            <w:r>
              <w:t>Espace de 13 points entre chaque ligne.</w:t>
            </w:r>
          </w:p>
        </w:tc>
        <w:tc>
          <w:tcPr>
            <w:tcW w:w="8550" w:type="dxa"/>
          </w:tcPr>
          <w:p w14:paraId="7AC0FADC" w14:textId="323971F0" w:rsidR="008378E9" w:rsidRPr="00754F7D" w:rsidRDefault="008378E9" w:rsidP="008378E9">
            <w:pPr>
              <w:ind w:left="-21"/>
            </w:pPr>
          </w:p>
        </w:tc>
      </w:tr>
    </w:tbl>
    <w:tbl>
      <w:tblPr>
        <w:tblStyle w:val="Grilledutableau"/>
        <w:tblW w:w="17275" w:type="dxa"/>
        <w:tblLook w:val="04A0" w:firstRow="1" w:lastRow="0" w:firstColumn="1" w:lastColumn="0" w:noHBand="0" w:noVBand="1"/>
      </w:tblPr>
      <w:tblGrid>
        <w:gridCol w:w="1640"/>
        <w:gridCol w:w="7085"/>
        <w:gridCol w:w="8550"/>
      </w:tblGrid>
      <w:tr w:rsidR="008378E9" w14:paraId="73251CFF" w14:textId="62426C64" w:rsidTr="00F26FDD">
        <w:tc>
          <w:tcPr>
            <w:tcW w:w="1640" w:type="dxa"/>
          </w:tcPr>
          <w:p w14:paraId="2BDE41F2" w14:textId="345F6ADC" w:rsidR="008378E9" w:rsidRDefault="008378E9" w:rsidP="002C210E">
            <w:pPr>
              <w:jc w:val="left"/>
            </w:pPr>
            <w:r>
              <w:lastRenderedPageBreak/>
              <w:t xml:space="preserve">Forme des contrats conclus après décès </w:t>
            </w:r>
            <w:r w:rsidR="00AB55C2">
              <w:t>(art.</w:t>
            </w:r>
            <w:r w:rsidR="00690742">
              <w:t xml:space="preserve"> </w:t>
            </w:r>
            <w:r w:rsidR="00AB55C2">
              <w:t>1)</w:t>
            </w:r>
          </w:p>
          <w:p w14:paraId="0894A494" w14:textId="77777777" w:rsidR="008378E9" w:rsidRDefault="008378E9" w:rsidP="00DB047B"/>
          <w:p w14:paraId="497A7611" w14:textId="77777777" w:rsidR="008378E9" w:rsidRDefault="008378E9" w:rsidP="00DB047B"/>
        </w:tc>
        <w:tc>
          <w:tcPr>
            <w:tcW w:w="7085" w:type="dxa"/>
          </w:tcPr>
          <w:p w14:paraId="7A103BC5" w14:textId="77777777" w:rsidR="008378E9" w:rsidRDefault="008378E9" w:rsidP="00DB047B">
            <w:r>
              <w:t>Appliquer aux contrats conclus après décès les mêmes règles de forme qu’aux contrats d’arrangements préalables, soit :</w:t>
            </w:r>
          </w:p>
          <w:p w14:paraId="5BD1ED59" w14:textId="77777777" w:rsidR="008378E9" w:rsidRDefault="008378E9" w:rsidP="00DB047B"/>
          <w:p w14:paraId="1F8B680B" w14:textId="716ED71A" w:rsidR="008378E9" w:rsidRDefault="008378E9" w:rsidP="00DB047B">
            <w:pPr>
              <w:pStyle w:val="Paragraphedeliste"/>
              <w:numPr>
                <w:ilvl w:val="0"/>
                <w:numId w:val="14"/>
              </w:numPr>
              <w:spacing w:after="0" w:line="240" w:lineRule="auto"/>
            </w:pPr>
            <w:r>
              <w:t xml:space="preserve">Possibilité de soumettre un contrat </w:t>
            </w:r>
            <w:r w:rsidRPr="00397C31">
              <w:t>manus</w:t>
            </w:r>
            <w:r>
              <w:t>crit, dactylographié ou imprimé;</w:t>
            </w:r>
          </w:p>
          <w:p w14:paraId="443EFCFA" w14:textId="5697A16B" w:rsidR="00AB55C2" w:rsidRDefault="00AB55C2" w:rsidP="00DB047B">
            <w:pPr>
              <w:pStyle w:val="Paragraphedeliste"/>
              <w:numPr>
                <w:ilvl w:val="0"/>
                <w:numId w:val="14"/>
              </w:numPr>
              <w:spacing w:after="0" w:line="240" w:lineRule="auto"/>
            </w:pPr>
            <w:r w:rsidRPr="00CB4ED2">
              <w:t>Rédigé sur du papier blanc de bonne qualité</w:t>
            </w:r>
            <w:r w:rsidR="00CB4ED2">
              <w:t>;</w:t>
            </w:r>
          </w:p>
          <w:p w14:paraId="42233960" w14:textId="07276732" w:rsidR="008378E9" w:rsidRDefault="008378E9" w:rsidP="003E470F">
            <w:pPr>
              <w:pStyle w:val="Paragraphedeliste"/>
              <w:numPr>
                <w:ilvl w:val="0"/>
                <w:numId w:val="14"/>
              </w:numPr>
              <w:spacing w:after="120" w:line="240" w:lineRule="auto"/>
            </w:pPr>
            <w:r>
              <w:t>S'il est rédigé recto verso, inscrire au bas du recto de chaque feuille, en caractères majuscules d'une grosseur minimale de 14 points, la mention</w:t>
            </w:r>
            <w:r w:rsidR="00445162">
              <w:t> </w:t>
            </w:r>
            <w:r>
              <w:t xml:space="preserve">: </w:t>
            </w:r>
            <w:r w:rsidR="00445162">
              <w:t>VOIR VERSO, de même que l’encadrement y correspondant</w:t>
            </w:r>
            <w:r>
              <w:t>.</w:t>
            </w:r>
          </w:p>
        </w:tc>
        <w:tc>
          <w:tcPr>
            <w:tcW w:w="8550" w:type="dxa"/>
          </w:tcPr>
          <w:p w14:paraId="5C5CE75F" w14:textId="312A0723" w:rsidR="008378E9" w:rsidRPr="00432969" w:rsidRDefault="008378E9" w:rsidP="008378E9">
            <w:pPr>
              <w:autoSpaceDE w:val="0"/>
              <w:autoSpaceDN w:val="0"/>
              <w:adjustRightInd w:val="0"/>
            </w:pPr>
          </w:p>
        </w:tc>
      </w:tr>
      <w:tr w:rsidR="008378E9" w14:paraId="2AFD42A4" w14:textId="5E5A594D" w:rsidTr="00F26FDD">
        <w:tc>
          <w:tcPr>
            <w:tcW w:w="1640" w:type="dxa"/>
          </w:tcPr>
          <w:p w14:paraId="71D65BA5" w14:textId="488B2810" w:rsidR="008378E9" w:rsidRDefault="008378E9" w:rsidP="002C210E">
            <w:pPr>
              <w:jc w:val="left"/>
            </w:pPr>
            <w:r>
              <w:t>Ajout de la date de naissance – contrats d’arrangements préalables de services funéraires et de sépulture</w:t>
            </w:r>
            <w:r w:rsidR="007C463E">
              <w:t xml:space="preserve"> (art. 3 et 4)</w:t>
            </w:r>
          </w:p>
          <w:p w14:paraId="4786B044" w14:textId="77777777" w:rsidR="008378E9" w:rsidRDefault="008378E9" w:rsidP="00DB047B"/>
        </w:tc>
        <w:tc>
          <w:tcPr>
            <w:tcW w:w="7085" w:type="dxa"/>
          </w:tcPr>
          <w:p w14:paraId="15250D21" w14:textId="04CCA93B" w:rsidR="008378E9" w:rsidRDefault="008378E9" w:rsidP="00C92469">
            <w:pPr>
              <w:pStyle w:val="Corpsdetexte2"/>
              <w:spacing w:before="120" w:after="240"/>
              <w:ind w:right="-48"/>
              <w:rPr>
                <w:rFonts w:asciiTheme="minorHAnsi" w:hAnsiTheme="minorHAnsi" w:cstheme="minorHAnsi"/>
                <w:sz w:val="22"/>
                <w:szCs w:val="22"/>
                <w:lang w:eastAsia="x-none"/>
              </w:rPr>
            </w:pPr>
            <w:r>
              <w:rPr>
                <w:rFonts w:asciiTheme="minorHAnsi" w:hAnsiTheme="minorHAnsi" w:cstheme="minorHAnsi"/>
                <w:sz w:val="22"/>
                <w:szCs w:val="22"/>
                <w:lang w:eastAsia="x-none"/>
              </w:rPr>
              <w:t>Le vendeur devra inscrire la date de naissance :</w:t>
            </w:r>
          </w:p>
          <w:p w14:paraId="49755818" w14:textId="77777777" w:rsidR="008378E9" w:rsidRPr="00D51F10" w:rsidRDefault="008378E9" w:rsidP="00D51F10">
            <w:pPr>
              <w:pStyle w:val="Paragraphedeliste"/>
              <w:numPr>
                <w:ilvl w:val="0"/>
                <w:numId w:val="14"/>
              </w:numPr>
              <w:spacing w:after="0" w:line="240" w:lineRule="auto"/>
            </w:pPr>
            <w:proofErr w:type="gramStart"/>
            <w:r w:rsidRPr="00D51F10">
              <w:t>de</w:t>
            </w:r>
            <w:proofErr w:type="gramEnd"/>
            <w:r w:rsidRPr="00D51F10">
              <w:t xml:space="preserve"> la personne à qui les biens et les services doivent être fournis (le bénéficiaire) pour les contrats d’arrangements préalables de services funéraires;</w:t>
            </w:r>
          </w:p>
          <w:p w14:paraId="35C177E5" w14:textId="77777777" w:rsidR="008378E9" w:rsidRPr="00D51F10" w:rsidRDefault="008378E9" w:rsidP="00D51F10">
            <w:pPr>
              <w:pStyle w:val="Paragraphedeliste"/>
              <w:numPr>
                <w:ilvl w:val="0"/>
                <w:numId w:val="14"/>
              </w:numPr>
              <w:spacing w:after="0" w:line="240" w:lineRule="auto"/>
            </w:pPr>
            <w:proofErr w:type="gramStart"/>
            <w:r w:rsidRPr="00D51F10">
              <w:t>de</w:t>
            </w:r>
            <w:proofErr w:type="gramEnd"/>
            <w:r w:rsidRPr="00D51F10">
              <w:t xml:space="preserve"> l’acheteur pour les contrats d’achat préalable de sépulture.</w:t>
            </w:r>
          </w:p>
          <w:p w14:paraId="5A216A9A" w14:textId="77777777" w:rsidR="008378E9" w:rsidRDefault="008378E9" w:rsidP="00DB047B">
            <w:pPr>
              <w:pStyle w:val="Corpsdetexte2"/>
              <w:spacing w:before="120" w:after="120"/>
              <w:ind w:right="-48"/>
              <w:rPr>
                <w:rFonts w:asciiTheme="minorHAnsi" w:hAnsiTheme="minorHAnsi" w:cstheme="minorHAnsi"/>
                <w:b/>
                <w:sz w:val="22"/>
                <w:szCs w:val="22"/>
                <w:lang w:eastAsia="x-none"/>
              </w:rPr>
            </w:pPr>
            <w:r w:rsidRPr="00C53EA1">
              <w:rPr>
                <w:rFonts w:asciiTheme="minorHAnsi" w:hAnsiTheme="minorHAnsi" w:cstheme="minorHAnsi"/>
                <w:b/>
                <w:sz w:val="22"/>
                <w:szCs w:val="22"/>
                <w:lang w:eastAsia="x-none"/>
              </w:rPr>
              <w:t>Explications</w:t>
            </w:r>
          </w:p>
          <w:p w14:paraId="5120CC7C" w14:textId="455C2EE4" w:rsidR="008378E9" w:rsidRDefault="008378E9" w:rsidP="007B041F">
            <w:pPr>
              <w:rPr>
                <w:lang w:val="fr-FR"/>
              </w:rPr>
            </w:pPr>
            <w:r w:rsidRPr="00D51F10">
              <w:rPr>
                <w:lang w:val="fr-FR"/>
              </w:rPr>
              <w:t>La loi 14 prévoit la constitution, d’ici le 6 juin 2020, d’un registre des contrats d’arrangements préalables de services funéraires et de</w:t>
            </w:r>
            <w:r w:rsidR="00720EE1" w:rsidRPr="00D51F10">
              <w:rPr>
                <w:lang w:val="fr-FR"/>
              </w:rPr>
              <w:t xml:space="preserve">s contrats </w:t>
            </w:r>
            <w:r w:rsidR="00E0710A" w:rsidRPr="00D51F10">
              <w:rPr>
                <w:lang w:val="fr-FR"/>
              </w:rPr>
              <w:t>d’achat préalable de</w:t>
            </w:r>
            <w:r w:rsidRPr="00D51F10">
              <w:rPr>
                <w:lang w:val="fr-FR"/>
              </w:rPr>
              <w:t xml:space="preserve"> sépulture. </w:t>
            </w:r>
          </w:p>
          <w:p w14:paraId="7C7FB920" w14:textId="77777777" w:rsidR="007B041F" w:rsidRPr="00D51F10" w:rsidRDefault="007B041F" w:rsidP="007B041F">
            <w:pPr>
              <w:rPr>
                <w:lang w:val="fr-FR"/>
              </w:rPr>
            </w:pPr>
          </w:p>
          <w:p w14:paraId="3EF924BD" w14:textId="4AEDE87A" w:rsidR="008378E9" w:rsidRDefault="008378E9" w:rsidP="007B041F">
            <w:pPr>
              <w:rPr>
                <w:lang w:val="fr-FR"/>
              </w:rPr>
            </w:pPr>
            <w:r w:rsidRPr="00D51F10">
              <w:rPr>
                <w:lang w:val="fr-FR"/>
              </w:rPr>
              <w:t xml:space="preserve">L’objectif de ce registre est de permettre aux personnes autorisées de retracer les contrats d’arrangements préalables qu’une personne aurait pu conclure de son vivant. </w:t>
            </w:r>
          </w:p>
          <w:p w14:paraId="23FC60DF" w14:textId="77777777" w:rsidR="007B041F" w:rsidRPr="00D51F10" w:rsidRDefault="007B041F" w:rsidP="007B041F">
            <w:pPr>
              <w:rPr>
                <w:lang w:val="fr-FR"/>
              </w:rPr>
            </w:pPr>
          </w:p>
          <w:p w14:paraId="77033BB3" w14:textId="148F623C" w:rsidR="008378E9" w:rsidRPr="00D51F10" w:rsidRDefault="008378E9" w:rsidP="007B041F">
            <w:pPr>
              <w:rPr>
                <w:lang w:val="fr-FR"/>
              </w:rPr>
            </w:pPr>
            <w:r w:rsidRPr="00D51F10">
              <w:rPr>
                <w:lang w:val="fr-FR"/>
              </w:rPr>
              <w:t xml:space="preserve">La date de naissance constitue un renseignement </w:t>
            </w:r>
            <w:r w:rsidR="00E0710A" w:rsidRPr="00D51F10">
              <w:rPr>
                <w:lang w:val="fr-FR"/>
              </w:rPr>
              <w:t>nécessaire</w:t>
            </w:r>
            <w:r w:rsidRPr="00D51F10">
              <w:rPr>
                <w:lang w:val="fr-FR"/>
              </w:rPr>
              <w:t xml:space="preserve"> pour identifier une personne. </w:t>
            </w:r>
          </w:p>
          <w:p w14:paraId="52164873" w14:textId="77777777" w:rsidR="008378E9" w:rsidRDefault="008378E9" w:rsidP="00DB047B"/>
          <w:p w14:paraId="32C491E6" w14:textId="54466A29" w:rsidR="008378E9" w:rsidRPr="00AF7D0A" w:rsidRDefault="008378E9" w:rsidP="003E470F">
            <w:pPr>
              <w:spacing w:after="120"/>
            </w:pPr>
            <w:r>
              <w:lastRenderedPageBreak/>
              <w:t>Or, la loi ne précise pas que doit être indiquée au contrat d’arrangements préalables la date de naissance de la personne à qui les biens et les services doivent être fournis ou encore celle de l’acheteur.</w:t>
            </w:r>
          </w:p>
        </w:tc>
        <w:tc>
          <w:tcPr>
            <w:tcW w:w="8550" w:type="dxa"/>
          </w:tcPr>
          <w:p w14:paraId="3A1DF999" w14:textId="209FE53D" w:rsidR="008378E9" w:rsidRPr="00123765" w:rsidRDefault="008378E9" w:rsidP="008378E9">
            <w:pPr>
              <w:pStyle w:val="Paragraphedeliste"/>
              <w:spacing w:after="0" w:line="240" w:lineRule="auto"/>
              <w:ind w:left="344"/>
              <w:rPr>
                <w:rFonts w:ascii="Calibri" w:eastAsia="Times New Roman" w:hAnsi="Calibri" w:cs="Times New Roman"/>
                <w:lang w:eastAsia="fr-CA"/>
              </w:rPr>
            </w:pPr>
            <w:r w:rsidRPr="004A7D3A">
              <w:lastRenderedPageBreak/>
              <w:t xml:space="preserve"> </w:t>
            </w:r>
          </w:p>
        </w:tc>
      </w:tr>
      <w:tr w:rsidR="008378E9" w14:paraId="00256884" w14:textId="45FF1FF4" w:rsidTr="00F26FDD">
        <w:tc>
          <w:tcPr>
            <w:tcW w:w="1640" w:type="dxa"/>
          </w:tcPr>
          <w:p w14:paraId="50F2622C" w14:textId="37FC40E3" w:rsidR="008378E9" w:rsidRDefault="008378E9" w:rsidP="002C210E">
            <w:pPr>
              <w:jc w:val="left"/>
            </w:pPr>
            <w:r>
              <w:t>Respect de la volonté du défunt</w:t>
            </w:r>
            <w:r w:rsidR="00980202">
              <w:t> </w:t>
            </w:r>
            <w:r>
              <w:t xml:space="preserve">- contrats d’arrangements préalables de services funéraires et de sépulture </w:t>
            </w:r>
            <w:r w:rsidR="006E299D">
              <w:t>(art. 5)</w:t>
            </w:r>
          </w:p>
          <w:p w14:paraId="7DAD0E98" w14:textId="77777777" w:rsidR="008378E9" w:rsidRDefault="008378E9" w:rsidP="00DB047B"/>
        </w:tc>
        <w:tc>
          <w:tcPr>
            <w:tcW w:w="7085" w:type="dxa"/>
          </w:tcPr>
          <w:p w14:paraId="7315CA89" w14:textId="77777777" w:rsidR="008378E9" w:rsidRPr="002F04C9" w:rsidRDefault="008378E9" w:rsidP="007B041F">
            <w:pPr>
              <w:pStyle w:val="Corpsdetexte2"/>
              <w:spacing w:before="120" w:after="240"/>
              <w:ind w:right="-48"/>
              <w:rPr>
                <w:rFonts w:asciiTheme="minorHAnsi" w:hAnsiTheme="minorHAnsi" w:cstheme="minorHAnsi"/>
                <w:sz w:val="22"/>
                <w:szCs w:val="22"/>
                <w:lang w:eastAsia="x-none"/>
              </w:rPr>
            </w:pPr>
            <w:r w:rsidRPr="002F04C9">
              <w:rPr>
                <w:rFonts w:asciiTheme="minorHAnsi" w:hAnsiTheme="minorHAnsi" w:cstheme="minorHAnsi"/>
                <w:sz w:val="22"/>
                <w:szCs w:val="22"/>
                <w:lang w:eastAsia="x-none"/>
              </w:rPr>
              <w:t>Ajout d’une mention obligatoire :</w:t>
            </w:r>
          </w:p>
          <w:p w14:paraId="1F64AB1D" w14:textId="0DAE9A78" w:rsidR="00980202" w:rsidRPr="006615CF" w:rsidRDefault="008378E9" w:rsidP="007B041F">
            <w:pPr>
              <w:pStyle w:val="Corpsdetexte2"/>
              <w:spacing w:before="120" w:after="240"/>
              <w:ind w:right="-48"/>
              <w:rPr>
                <w:rFonts w:ascii="Calibri" w:hAnsi="Calibri" w:cs="Calibri"/>
                <w:sz w:val="22"/>
                <w:szCs w:val="22"/>
                <w:lang w:val="fr-FR" w:eastAsia="x-none"/>
              </w:rPr>
            </w:pPr>
            <w:r w:rsidRPr="002F04C9">
              <w:rPr>
                <w:rFonts w:asciiTheme="minorHAnsi" w:hAnsiTheme="minorHAnsi" w:cstheme="minorHAnsi"/>
                <w:sz w:val="22"/>
                <w:szCs w:val="22"/>
                <w:lang w:val="fr-FR" w:eastAsia="x-none"/>
              </w:rPr>
              <w:t xml:space="preserve">Le contrat d’arrangements préalables de services funéraires et le contrat d’achat préalable de sépulture doivent contenir </w:t>
            </w:r>
            <w:r w:rsidR="00980202">
              <w:rPr>
                <w:rFonts w:asciiTheme="minorHAnsi" w:hAnsiTheme="minorHAnsi" w:cstheme="minorHAnsi"/>
                <w:sz w:val="22"/>
                <w:szCs w:val="22"/>
                <w:lang w:val="fr-FR" w:eastAsia="x-none"/>
              </w:rPr>
              <w:t>u</w:t>
            </w:r>
            <w:r w:rsidR="00980202" w:rsidRPr="006615CF">
              <w:rPr>
                <w:rFonts w:ascii="Calibri" w:hAnsi="Calibri" w:cs="Calibri"/>
                <w:sz w:val="22"/>
                <w:szCs w:val="22"/>
                <w:lang w:val="fr-FR" w:eastAsia="x-none"/>
              </w:rPr>
              <w:t>ne mention obligatoire qui permet à l’acheteur de</w:t>
            </w:r>
            <w:r w:rsidR="00E06125">
              <w:rPr>
                <w:rFonts w:ascii="Calibri" w:hAnsi="Calibri" w:cs="Calibri"/>
                <w:sz w:val="22"/>
                <w:szCs w:val="22"/>
                <w:lang w:val="fr-FR" w:eastAsia="x-none"/>
              </w:rPr>
              <w:t xml:space="preserve"> cocher une case selon laquelle il peut</w:t>
            </w:r>
            <w:r w:rsidR="00980202" w:rsidRPr="006615CF">
              <w:rPr>
                <w:rFonts w:ascii="Calibri" w:hAnsi="Calibri" w:cs="Calibri"/>
                <w:sz w:val="22"/>
                <w:szCs w:val="22"/>
                <w:lang w:val="fr-FR" w:eastAsia="x-none"/>
              </w:rPr>
              <w:t xml:space="preserve"> refuse</w:t>
            </w:r>
            <w:r w:rsidR="00980202">
              <w:rPr>
                <w:rFonts w:ascii="Calibri" w:hAnsi="Calibri" w:cs="Calibri"/>
                <w:sz w:val="22"/>
                <w:szCs w:val="22"/>
                <w:lang w:val="fr-FR" w:eastAsia="x-none"/>
              </w:rPr>
              <w:t>r</w:t>
            </w:r>
            <w:r w:rsidR="00980202" w:rsidRPr="006615CF">
              <w:rPr>
                <w:rFonts w:ascii="Calibri" w:hAnsi="Calibri" w:cs="Calibri"/>
                <w:sz w:val="22"/>
                <w:szCs w:val="22"/>
                <w:lang w:val="fr-FR" w:eastAsia="x-none"/>
              </w:rPr>
              <w:t xml:space="preserve"> que ses héritiers, successibles et liquidateurs annulent son contrat ou modifient les biens et services prévus qui devront lui être fournis lors de son décès.</w:t>
            </w:r>
          </w:p>
          <w:p w14:paraId="5154B6ED" w14:textId="77777777" w:rsidR="00980202" w:rsidRPr="006615CF" w:rsidRDefault="00980202" w:rsidP="007B041F">
            <w:pPr>
              <w:pStyle w:val="Corpsdetexte2"/>
              <w:spacing w:before="120" w:after="240"/>
              <w:ind w:right="-48"/>
              <w:rPr>
                <w:rFonts w:ascii="Calibri" w:hAnsi="Calibri" w:cs="Calibri"/>
                <w:sz w:val="22"/>
                <w:szCs w:val="22"/>
                <w:lang w:eastAsia="x-none"/>
              </w:rPr>
            </w:pPr>
            <w:r w:rsidRPr="006615CF">
              <w:rPr>
                <w:rFonts w:ascii="Calibri" w:hAnsi="Calibri" w:cs="Calibri"/>
                <w:sz w:val="22"/>
                <w:szCs w:val="22"/>
                <w:lang w:eastAsia="x-none"/>
              </w:rPr>
              <w:t>Par cette mention, l’acheteur indique également que le vendeur des biens et des services ou son représentant l’a informé :</w:t>
            </w:r>
          </w:p>
          <w:p w14:paraId="39FA750B" w14:textId="11F49ED0" w:rsidR="00980202" w:rsidRPr="006615CF" w:rsidRDefault="00E06125" w:rsidP="00980202">
            <w:pPr>
              <w:pStyle w:val="Paragraphedeliste"/>
              <w:numPr>
                <w:ilvl w:val="0"/>
                <w:numId w:val="28"/>
              </w:numPr>
            </w:pPr>
            <w:proofErr w:type="gramStart"/>
            <w:r>
              <w:t>que</w:t>
            </w:r>
            <w:proofErr w:type="gramEnd"/>
            <w:r w:rsidR="00980202" w:rsidRPr="006615CF">
              <w:t xml:space="preserve"> </w:t>
            </w:r>
            <w:r w:rsidR="00AB55C2" w:rsidRPr="006615CF">
              <w:t>l’</w:t>
            </w:r>
            <w:r w:rsidR="00AB55C2">
              <w:t>existence</w:t>
            </w:r>
            <w:r w:rsidR="00AB55C2" w:rsidRPr="006615CF">
              <w:t xml:space="preserve"> </w:t>
            </w:r>
            <w:r w:rsidR="00980202" w:rsidRPr="006615CF">
              <w:t xml:space="preserve">de son contrat </w:t>
            </w:r>
            <w:r>
              <w:t xml:space="preserve">sera inscrite </w:t>
            </w:r>
            <w:r w:rsidR="00980202" w:rsidRPr="006615CF">
              <w:t>au registre des contrats d’arrangements préalables de services funéraires et des contrats d’achat préalable de sépulture afin que son liquidateur, ses héritiers et ses successibles soient informés de son existence;</w:t>
            </w:r>
          </w:p>
          <w:p w14:paraId="586903C2" w14:textId="77777777" w:rsidR="00980202" w:rsidRPr="006615CF" w:rsidRDefault="00980202" w:rsidP="00980202">
            <w:pPr>
              <w:pStyle w:val="Paragraphedeliste"/>
              <w:numPr>
                <w:ilvl w:val="0"/>
                <w:numId w:val="28"/>
              </w:numPr>
            </w:pPr>
            <w:proofErr w:type="gramStart"/>
            <w:r w:rsidRPr="006615CF">
              <w:t>de</w:t>
            </w:r>
            <w:proofErr w:type="gramEnd"/>
            <w:r w:rsidRPr="006615CF">
              <w:t xml:space="preserve"> la possibilité de modifier ou d’annuler son contrat conformément aux lois et règlements en vigueur;</w:t>
            </w:r>
          </w:p>
          <w:p w14:paraId="4FC1FE5F" w14:textId="132FC6E4" w:rsidR="00980202" w:rsidRPr="006615CF" w:rsidRDefault="00980202" w:rsidP="007B041F">
            <w:pPr>
              <w:pStyle w:val="Paragraphedeliste"/>
              <w:numPr>
                <w:ilvl w:val="0"/>
                <w:numId w:val="28"/>
              </w:numPr>
              <w:spacing w:after="240"/>
            </w:pPr>
            <w:proofErr w:type="gramStart"/>
            <w:r w:rsidRPr="006615CF">
              <w:t>qu’il</w:t>
            </w:r>
            <w:proofErr w:type="gramEnd"/>
            <w:r w:rsidRPr="006615CF">
              <w:t xml:space="preserve"> n’est pas obligé de cocher la case.</w:t>
            </w:r>
          </w:p>
          <w:p w14:paraId="515A7FD3" w14:textId="77777777" w:rsidR="008378E9" w:rsidRDefault="00980202" w:rsidP="003E470F">
            <w:pPr>
              <w:pStyle w:val="Corpsdetexte2"/>
              <w:spacing w:after="120"/>
              <w:ind w:right="-48"/>
              <w:rPr>
                <w:rFonts w:ascii="Calibri" w:hAnsi="Calibri" w:cs="Calibri"/>
                <w:sz w:val="22"/>
                <w:szCs w:val="22"/>
                <w:lang w:val="fr-FR" w:eastAsia="x-none"/>
              </w:rPr>
            </w:pPr>
            <w:r w:rsidRPr="006615CF">
              <w:rPr>
                <w:rFonts w:ascii="Calibri" w:hAnsi="Calibri" w:cs="Calibri"/>
                <w:sz w:val="22"/>
                <w:szCs w:val="22"/>
                <w:lang w:val="fr-FR" w:eastAsia="x-none"/>
              </w:rPr>
              <w:t>Enfin, cette mention informe l’acheteur que, en cas d’annulation de son contrat par ses héritiers</w:t>
            </w:r>
            <w:r w:rsidR="00E06125">
              <w:rPr>
                <w:rFonts w:ascii="Calibri" w:hAnsi="Calibri" w:cs="Calibri"/>
                <w:sz w:val="22"/>
                <w:szCs w:val="22"/>
                <w:lang w:val="fr-FR" w:eastAsia="x-none"/>
              </w:rPr>
              <w:t>,</w:t>
            </w:r>
            <w:r w:rsidRPr="006615CF">
              <w:rPr>
                <w:rFonts w:ascii="Calibri" w:hAnsi="Calibri" w:cs="Calibri"/>
                <w:sz w:val="22"/>
                <w:szCs w:val="22"/>
                <w:lang w:val="fr-FR" w:eastAsia="x-none"/>
              </w:rPr>
              <w:t xml:space="preserve"> ses successibles</w:t>
            </w:r>
            <w:r w:rsidR="00E06125">
              <w:rPr>
                <w:rFonts w:ascii="Calibri" w:hAnsi="Calibri" w:cs="Calibri"/>
                <w:sz w:val="22"/>
                <w:szCs w:val="22"/>
                <w:lang w:val="fr-FR" w:eastAsia="x-none"/>
              </w:rPr>
              <w:t xml:space="preserve"> ou ses liquidateurs</w:t>
            </w:r>
            <w:r w:rsidRPr="006615CF">
              <w:rPr>
                <w:rFonts w:ascii="Calibri" w:hAnsi="Calibri" w:cs="Calibri"/>
                <w:sz w:val="22"/>
                <w:szCs w:val="22"/>
                <w:lang w:val="fr-FR" w:eastAsia="x-none"/>
              </w:rPr>
              <w:t>, les sommes détenues en fidéicommis par le vendeur seront remises à ces derniers sous réserve de la pénalité qu’un vendeur pourrait imposer.</w:t>
            </w:r>
          </w:p>
          <w:p w14:paraId="1ADC5D86" w14:textId="7D80CD8C" w:rsidR="007B041F" w:rsidRPr="00980202" w:rsidRDefault="007B041F" w:rsidP="003E470F">
            <w:pPr>
              <w:pStyle w:val="Corpsdetexte2"/>
              <w:spacing w:after="120"/>
              <w:ind w:right="-48"/>
              <w:rPr>
                <w:rFonts w:ascii="Calibri" w:hAnsi="Calibri" w:cs="Calibri"/>
                <w:sz w:val="22"/>
                <w:szCs w:val="22"/>
                <w:lang w:val="fr-FR" w:eastAsia="x-none"/>
              </w:rPr>
            </w:pPr>
          </w:p>
        </w:tc>
        <w:tc>
          <w:tcPr>
            <w:tcW w:w="8550" w:type="dxa"/>
          </w:tcPr>
          <w:p w14:paraId="12FC9D26" w14:textId="650AAC8D" w:rsidR="008378E9" w:rsidRPr="008378E9" w:rsidRDefault="008378E9" w:rsidP="008378E9">
            <w:pPr>
              <w:pStyle w:val="Paragraphedeliste"/>
              <w:spacing w:after="0" w:line="240" w:lineRule="auto"/>
              <w:ind w:left="340"/>
              <w:rPr>
                <w:rFonts w:cstheme="minorHAnsi"/>
                <w:lang w:val="fr-FR" w:eastAsia="x-none"/>
              </w:rPr>
            </w:pPr>
          </w:p>
        </w:tc>
      </w:tr>
      <w:tr w:rsidR="00977A6C" w14:paraId="036D9604" w14:textId="77777777" w:rsidTr="00F26FDD">
        <w:tc>
          <w:tcPr>
            <w:tcW w:w="1640" w:type="dxa"/>
          </w:tcPr>
          <w:p w14:paraId="5B7B2F39" w14:textId="740B7FFB" w:rsidR="00977A6C" w:rsidRDefault="00977A6C" w:rsidP="002C210E">
            <w:pPr>
              <w:spacing w:after="120"/>
              <w:jc w:val="left"/>
            </w:pPr>
            <w:r w:rsidRPr="009E17DD">
              <w:lastRenderedPageBreak/>
              <w:t xml:space="preserve">Élargissement des choix de placements que le vendeur peut se réserver </w:t>
            </w:r>
            <w:r w:rsidR="00980202" w:rsidRPr="00D33F90">
              <w:t xml:space="preserve">lorsque le dépositaire est une </w:t>
            </w:r>
            <w:r w:rsidR="00980202" w:rsidRPr="00933675">
              <w:t>société de fiducie pour gérer les sommes de ses clients dans des fonds en fidéicommis</w:t>
            </w:r>
            <w:r w:rsidRPr="009E17DD">
              <w:t xml:space="preserve"> </w:t>
            </w:r>
            <w:r w:rsidR="009968CD">
              <w:t>(art. 6)</w:t>
            </w:r>
          </w:p>
        </w:tc>
        <w:tc>
          <w:tcPr>
            <w:tcW w:w="7085" w:type="dxa"/>
          </w:tcPr>
          <w:p w14:paraId="1420D3AC" w14:textId="170472F4" w:rsidR="00980202" w:rsidRDefault="00980202" w:rsidP="00980202">
            <w:r w:rsidRPr="001503A2">
              <w:t xml:space="preserve">L’article 26 de la LAPSFS fournit une liste spécifique de véhicules de placements à laquelle le vendeur d’arrangements préalables de services funéraires et de sépulture peut recourir pour la gestion des sommes de ses clients </w:t>
            </w:r>
            <w:r w:rsidRPr="00D33F90">
              <w:t xml:space="preserve">lorsque le dépositaire est une société de fiducie. </w:t>
            </w:r>
          </w:p>
          <w:p w14:paraId="7EA3AB74" w14:textId="77777777" w:rsidR="00980202" w:rsidRPr="001503A2" w:rsidRDefault="00980202" w:rsidP="00980202"/>
          <w:p w14:paraId="4A653783" w14:textId="1CC83165" w:rsidR="00980202" w:rsidRDefault="00980202" w:rsidP="00980202">
            <w:r w:rsidRPr="001503A2">
              <w:t>Il est proposé d</w:t>
            </w:r>
            <w:r w:rsidR="00E668BA">
              <w:t>’ajouter un</w:t>
            </w:r>
            <w:r w:rsidRPr="001503A2">
              <w:t xml:space="preserve"> nouveau véhicule de placement</w:t>
            </w:r>
            <w:r>
              <w:t> :</w:t>
            </w:r>
          </w:p>
          <w:p w14:paraId="6AF44FF8" w14:textId="77777777" w:rsidR="00757F04" w:rsidRDefault="00757F04" w:rsidP="00980202"/>
          <w:p w14:paraId="1FCF8EB4" w14:textId="0212562B" w:rsidR="00977A6C" w:rsidRPr="00980202" w:rsidRDefault="00980202" w:rsidP="003E470F">
            <w:pPr>
              <w:pStyle w:val="Paragraphedeliste"/>
              <w:numPr>
                <w:ilvl w:val="0"/>
                <w:numId w:val="29"/>
              </w:numPr>
              <w:spacing w:after="120"/>
            </w:pPr>
            <w:r>
              <w:t>Obligations ou autres titres d’emprunt émis ou garantis par les États-Unis d’Amérique o</w:t>
            </w:r>
            <w:bookmarkStart w:id="0" w:name="_GoBack"/>
            <w:bookmarkEnd w:id="0"/>
            <w:r>
              <w:t>u l’un des États membres.</w:t>
            </w:r>
          </w:p>
        </w:tc>
        <w:tc>
          <w:tcPr>
            <w:tcW w:w="8550" w:type="dxa"/>
          </w:tcPr>
          <w:p w14:paraId="78A23F91" w14:textId="77777777" w:rsidR="00977A6C" w:rsidRPr="008378E9" w:rsidRDefault="00977A6C" w:rsidP="00977A6C">
            <w:pPr>
              <w:pStyle w:val="Paragraphedeliste"/>
              <w:spacing w:after="0" w:line="240" w:lineRule="auto"/>
              <w:ind w:left="340"/>
              <w:rPr>
                <w:rFonts w:cstheme="minorHAnsi"/>
                <w:lang w:val="fr-FR" w:eastAsia="x-none"/>
              </w:rPr>
            </w:pPr>
          </w:p>
        </w:tc>
      </w:tr>
    </w:tbl>
    <w:p w14:paraId="6CC594FB" w14:textId="50445191" w:rsidR="009F67BC" w:rsidRPr="009F67BC" w:rsidRDefault="009F67BC" w:rsidP="009F67BC"/>
    <w:sectPr w:rsidR="009F67BC" w:rsidRPr="009F67BC" w:rsidSect="004909CD">
      <w:headerReference w:type="default" r:id="rId9"/>
      <w:footerReference w:type="default" r:id="rId10"/>
      <w:pgSz w:w="20160" w:h="12240" w:orient="landscape" w:code="5"/>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9907" w14:textId="77777777" w:rsidR="00947A4C" w:rsidRDefault="00947A4C" w:rsidP="001262BC">
      <w:pPr>
        <w:spacing w:after="0" w:line="240" w:lineRule="auto"/>
      </w:pPr>
      <w:r>
        <w:separator/>
      </w:r>
    </w:p>
  </w:endnote>
  <w:endnote w:type="continuationSeparator" w:id="0">
    <w:p w14:paraId="62A505CC" w14:textId="77777777" w:rsidR="00947A4C" w:rsidRDefault="00947A4C" w:rsidP="0012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87325"/>
      <w:docPartObj>
        <w:docPartGallery w:val="Page Numbers (Bottom of Page)"/>
        <w:docPartUnique/>
      </w:docPartObj>
    </w:sdtPr>
    <w:sdtEndPr/>
    <w:sdtContent>
      <w:p w14:paraId="2C2CCB17" w14:textId="2EE569F9" w:rsidR="004D3420" w:rsidRDefault="004D3420">
        <w:pPr>
          <w:pStyle w:val="Pieddepage"/>
          <w:jc w:val="right"/>
        </w:pPr>
        <w:r>
          <w:fldChar w:fldCharType="begin"/>
        </w:r>
        <w:r>
          <w:instrText>PAGE   \* MERGEFORMAT</w:instrText>
        </w:r>
        <w:r>
          <w:fldChar w:fldCharType="separate"/>
        </w:r>
        <w:r w:rsidR="007554C7" w:rsidRPr="007554C7">
          <w:rPr>
            <w:noProof/>
            <w:lang w:val="fr-FR"/>
          </w:rPr>
          <w:t>12</w:t>
        </w:r>
        <w:r>
          <w:fldChar w:fldCharType="end"/>
        </w:r>
      </w:p>
    </w:sdtContent>
  </w:sdt>
  <w:p w14:paraId="4D77FB4F" w14:textId="77777777" w:rsidR="00784FEF" w:rsidRDefault="00784F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E279" w14:textId="77777777" w:rsidR="00947A4C" w:rsidRDefault="00947A4C" w:rsidP="001262BC">
      <w:pPr>
        <w:spacing w:after="0" w:line="240" w:lineRule="auto"/>
      </w:pPr>
      <w:r>
        <w:separator/>
      </w:r>
    </w:p>
  </w:footnote>
  <w:footnote w:type="continuationSeparator" w:id="0">
    <w:p w14:paraId="30551B6F" w14:textId="77777777" w:rsidR="00947A4C" w:rsidRDefault="00947A4C" w:rsidP="00126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94F0" w14:textId="77777777" w:rsidR="00784FEF" w:rsidRDefault="00784FEF">
    <w:pPr>
      <w:pStyle w:val="En-tte"/>
    </w:pPr>
    <w:r>
      <w:rPr>
        <w:rFonts w:ascii="Palatino Linotype" w:hAnsi="Palatino Linotype"/>
        <w:noProof/>
        <w:color w:val="000080"/>
        <w:lang w:eastAsia="fr-CA"/>
      </w:rPr>
      <w:drawing>
        <wp:inline distT="0" distB="0" distL="0" distR="0" wp14:anchorId="79481896" wp14:editId="5DE4364A">
          <wp:extent cx="1504950" cy="666750"/>
          <wp:effectExtent l="19050" t="0" r="0" b="0"/>
          <wp:docPr id="1" name="Image 1" descr="Identification de l'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entification de l'OPC"/>
                  <pic:cNvPicPr>
                    <a:picLocks noChangeAspect="1" noChangeArrowheads="1"/>
                  </pic:cNvPicPr>
                </pic:nvPicPr>
                <pic:blipFill>
                  <a:blip r:embed="rId1" r:link="rId2"/>
                  <a:srcRect/>
                  <a:stretch>
                    <a:fillRect/>
                  </a:stretch>
                </pic:blipFill>
                <pic:spPr bwMode="auto">
                  <a:xfrm>
                    <a:off x="0" y="0"/>
                    <a:ext cx="1504950" cy="666750"/>
                  </a:xfrm>
                  <a:prstGeom prst="rect">
                    <a:avLst/>
                  </a:prstGeom>
                  <a:noFill/>
                  <a:ln w="9525">
                    <a:noFill/>
                    <a:miter lim="800000"/>
                    <a:headEnd/>
                    <a:tailEnd/>
                  </a:ln>
                </pic:spPr>
              </pic:pic>
            </a:graphicData>
          </a:graphic>
        </wp:inline>
      </w:drawing>
    </w:r>
  </w:p>
  <w:p w14:paraId="4D7B9CAB" w14:textId="77777777" w:rsidR="00784FEF" w:rsidRDefault="00784F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D9E"/>
    <w:multiLevelType w:val="hybridMultilevel"/>
    <w:tmpl w:val="51B61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49169E"/>
    <w:multiLevelType w:val="hybridMultilevel"/>
    <w:tmpl w:val="D9DC80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177F76"/>
    <w:multiLevelType w:val="hybridMultilevel"/>
    <w:tmpl w:val="B9F6A988"/>
    <w:lvl w:ilvl="0" w:tplc="585635D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427A4C"/>
    <w:multiLevelType w:val="hybridMultilevel"/>
    <w:tmpl w:val="14148966"/>
    <w:lvl w:ilvl="0" w:tplc="585635D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54005B"/>
    <w:multiLevelType w:val="hybridMultilevel"/>
    <w:tmpl w:val="7EFAD0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2155E3"/>
    <w:multiLevelType w:val="hybridMultilevel"/>
    <w:tmpl w:val="51385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BF38D7"/>
    <w:multiLevelType w:val="hybridMultilevel"/>
    <w:tmpl w:val="845EA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0C102C"/>
    <w:multiLevelType w:val="hybridMultilevel"/>
    <w:tmpl w:val="4308F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6E0CFF"/>
    <w:multiLevelType w:val="hybridMultilevel"/>
    <w:tmpl w:val="7F1A6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7F0A3D"/>
    <w:multiLevelType w:val="hybridMultilevel"/>
    <w:tmpl w:val="27A8A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962478"/>
    <w:multiLevelType w:val="hybridMultilevel"/>
    <w:tmpl w:val="AFB8C7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E46258"/>
    <w:multiLevelType w:val="hybridMultilevel"/>
    <w:tmpl w:val="7F462B18"/>
    <w:lvl w:ilvl="0" w:tplc="0FD81DDA">
      <w:start w:val="2"/>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890BF4"/>
    <w:multiLevelType w:val="hybridMultilevel"/>
    <w:tmpl w:val="9392CA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8E6DD5"/>
    <w:multiLevelType w:val="hybridMultilevel"/>
    <w:tmpl w:val="2DD24014"/>
    <w:lvl w:ilvl="0" w:tplc="90A21990">
      <w:numFmt w:val="bullet"/>
      <w:lvlText w:val="-"/>
      <w:lvlJc w:val="left"/>
      <w:pPr>
        <w:ind w:left="720" w:hanging="360"/>
      </w:pPr>
      <w:rPr>
        <w:rFonts w:ascii="Calibri" w:eastAsiaTheme="minorHAnsi"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84321"/>
    <w:multiLevelType w:val="hybridMultilevel"/>
    <w:tmpl w:val="17208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CC410B"/>
    <w:multiLevelType w:val="hybridMultilevel"/>
    <w:tmpl w:val="FA789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7B131E"/>
    <w:multiLevelType w:val="hybridMultilevel"/>
    <w:tmpl w:val="4AD89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4221862"/>
    <w:multiLevelType w:val="hybridMultilevel"/>
    <w:tmpl w:val="2B968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CB6654"/>
    <w:multiLevelType w:val="hybridMultilevel"/>
    <w:tmpl w:val="C0BEE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C552111"/>
    <w:multiLevelType w:val="hybridMultilevel"/>
    <w:tmpl w:val="20A6E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B24F76"/>
    <w:multiLevelType w:val="hybridMultilevel"/>
    <w:tmpl w:val="42E24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FC47D8"/>
    <w:multiLevelType w:val="hybridMultilevel"/>
    <w:tmpl w:val="9C781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C21A8E"/>
    <w:multiLevelType w:val="multilevel"/>
    <w:tmpl w:val="BD76F16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452F78"/>
    <w:multiLevelType w:val="hybridMultilevel"/>
    <w:tmpl w:val="7DAC97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33668EE"/>
    <w:multiLevelType w:val="multilevel"/>
    <w:tmpl w:val="5EC04F8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C36019"/>
    <w:multiLevelType w:val="hybridMultilevel"/>
    <w:tmpl w:val="CBBC6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B47F7B"/>
    <w:multiLevelType w:val="hybridMultilevel"/>
    <w:tmpl w:val="FE06AF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4F69B7"/>
    <w:multiLevelType w:val="hybridMultilevel"/>
    <w:tmpl w:val="D054C28E"/>
    <w:lvl w:ilvl="0" w:tplc="0C0C0001">
      <w:start w:val="1"/>
      <w:numFmt w:val="bullet"/>
      <w:lvlText w:val=""/>
      <w:lvlJc w:val="left"/>
      <w:pPr>
        <w:ind w:left="705" w:hanging="705"/>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4647D07"/>
    <w:multiLevelType w:val="hybridMultilevel"/>
    <w:tmpl w:val="A148B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22"/>
  </w:num>
  <w:num w:numId="5">
    <w:abstractNumId w:val="4"/>
  </w:num>
  <w:num w:numId="6">
    <w:abstractNumId w:val="16"/>
  </w:num>
  <w:num w:numId="7">
    <w:abstractNumId w:val="18"/>
  </w:num>
  <w:num w:numId="8">
    <w:abstractNumId w:val="1"/>
  </w:num>
  <w:num w:numId="9">
    <w:abstractNumId w:val="20"/>
  </w:num>
  <w:num w:numId="10">
    <w:abstractNumId w:val="23"/>
  </w:num>
  <w:num w:numId="11">
    <w:abstractNumId w:val="15"/>
  </w:num>
  <w:num w:numId="12">
    <w:abstractNumId w:val="28"/>
  </w:num>
  <w:num w:numId="13">
    <w:abstractNumId w:val="0"/>
  </w:num>
  <w:num w:numId="14">
    <w:abstractNumId w:val="26"/>
  </w:num>
  <w:num w:numId="15">
    <w:abstractNumId w:val="7"/>
  </w:num>
  <w:num w:numId="16">
    <w:abstractNumId w:val="12"/>
  </w:num>
  <w:num w:numId="17">
    <w:abstractNumId w:val="11"/>
  </w:num>
  <w:num w:numId="18">
    <w:abstractNumId w:val="27"/>
  </w:num>
  <w:num w:numId="19">
    <w:abstractNumId w:val="14"/>
  </w:num>
  <w:num w:numId="20">
    <w:abstractNumId w:val="13"/>
  </w:num>
  <w:num w:numId="21">
    <w:abstractNumId w:val="2"/>
  </w:num>
  <w:num w:numId="22">
    <w:abstractNumId w:val="21"/>
  </w:num>
  <w:num w:numId="23">
    <w:abstractNumId w:val="8"/>
  </w:num>
  <w:num w:numId="24">
    <w:abstractNumId w:val="19"/>
  </w:num>
  <w:num w:numId="25">
    <w:abstractNumId w:val="9"/>
  </w:num>
  <w:num w:numId="26">
    <w:abstractNumId w:val="3"/>
  </w:num>
  <w:num w:numId="27">
    <w:abstractNumId w:val="25"/>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E2"/>
    <w:rsid w:val="000134F1"/>
    <w:rsid w:val="00022DCB"/>
    <w:rsid w:val="00030202"/>
    <w:rsid w:val="00030DA4"/>
    <w:rsid w:val="00062E39"/>
    <w:rsid w:val="00065CAB"/>
    <w:rsid w:val="000671F1"/>
    <w:rsid w:val="00077F6D"/>
    <w:rsid w:val="00083788"/>
    <w:rsid w:val="00087753"/>
    <w:rsid w:val="000A623E"/>
    <w:rsid w:val="000A7B2E"/>
    <w:rsid w:val="000C59CD"/>
    <w:rsid w:val="000C7754"/>
    <w:rsid w:val="000D0376"/>
    <w:rsid w:val="000D1C34"/>
    <w:rsid w:val="000E07B9"/>
    <w:rsid w:val="000E7E23"/>
    <w:rsid w:val="000F7C76"/>
    <w:rsid w:val="00102A5F"/>
    <w:rsid w:val="00123765"/>
    <w:rsid w:val="001262BC"/>
    <w:rsid w:val="001332F9"/>
    <w:rsid w:val="001446D9"/>
    <w:rsid w:val="00156E09"/>
    <w:rsid w:val="00160C8A"/>
    <w:rsid w:val="001A3750"/>
    <w:rsid w:val="001C39AD"/>
    <w:rsid w:val="001D02D6"/>
    <w:rsid w:val="001D46D6"/>
    <w:rsid w:val="001D63A5"/>
    <w:rsid w:val="001E4FAD"/>
    <w:rsid w:val="001F6F3E"/>
    <w:rsid w:val="002008B6"/>
    <w:rsid w:val="00210B0D"/>
    <w:rsid w:val="00214478"/>
    <w:rsid w:val="00220845"/>
    <w:rsid w:val="00222E95"/>
    <w:rsid w:val="00232716"/>
    <w:rsid w:val="00242808"/>
    <w:rsid w:val="00244D1C"/>
    <w:rsid w:val="0025492F"/>
    <w:rsid w:val="00256964"/>
    <w:rsid w:val="00257D3E"/>
    <w:rsid w:val="002602DE"/>
    <w:rsid w:val="00263D76"/>
    <w:rsid w:val="00263F34"/>
    <w:rsid w:val="00276F7F"/>
    <w:rsid w:val="002B07B8"/>
    <w:rsid w:val="002C210E"/>
    <w:rsid w:val="002F04C9"/>
    <w:rsid w:val="002F6BF4"/>
    <w:rsid w:val="003004F0"/>
    <w:rsid w:val="0030055D"/>
    <w:rsid w:val="00300D89"/>
    <w:rsid w:val="003060AB"/>
    <w:rsid w:val="00317F07"/>
    <w:rsid w:val="00335AB4"/>
    <w:rsid w:val="003625E2"/>
    <w:rsid w:val="003769BB"/>
    <w:rsid w:val="0038064F"/>
    <w:rsid w:val="0038323B"/>
    <w:rsid w:val="00397C31"/>
    <w:rsid w:val="003A51D4"/>
    <w:rsid w:val="003B07B0"/>
    <w:rsid w:val="003B1E27"/>
    <w:rsid w:val="003C5E06"/>
    <w:rsid w:val="003E2496"/>
    <w:rsid w:val="003E470F"/>
    <w:rsid w:val="003E6488"/>
    <w:rsid w:val="003F0545"/>
    <w:rsid w:val="003F401F"/>
    <w:rsid w:val="004014B7"/>
    <w:rsid w:val="00413E5A"/>
    <w:rsid w:val="00430B00"/>
    <w:rsid w:val="00432969"/>
    <w:rsid w:val="0043693C"/>
    <w:rsid w:val="00445162"/>
    <w:rsid w:val="00455B11"/>
    <w:rsid w:val="00456E9C"/>
    <w:rsid w:val="00484369"/>
    <w:rsid w:val="00486710"/>
    <w:rsid w:val="00487577"/>
    <w:rsid w:val="004909CD"/>
    <w:rsid w:val="004A7D3A"/>
    <w:rsid w:val="004A7E84"/>
    <w:rsid w:val="004B02FC"/>
    <w:rsid w:val="004D3420"/>
    <w:rsid w:val="004D4658"/>
    <w:rsid w:val="004F7AC9"/>
    <w:rsid w:val="005022A0"/>
    <w:rsid w:val="00506D78"/>
    <w:rsid w:val="005138E5"/>
    <w:rsid w:val="0052133D"/>
    <w:rsid w:val="00524D72"/>
    <w:rsid w:val="005607BB"/>
    <w:rsid w:val="005A4A81"/>
    <w:rsid w:val="005C4E12"/>
    <w:rsid w:val="005D6931"/>
    <w:rsid w:val="005E498A"/>
    <w:rsid w:val="005F12DE"/>
    <w:rsid w:val="005F1AAA"/>
    <w:rsid w:val="005F3E5A"/>
    <w:rsid w:val="00605460"/>
    <w:rsid w:val="00621733"/>
    <w:rsid w:val="00627680"/>
    <w:rsid w:val="00631F0A"/>
    <w:rsid w:val="00633957"/>
    <w:rsid w:val="00640BCD"/>
    <w:rsid w:val="00642D60"/>
    <w:rsid w:val="0064388D"/>
    <w:rsid w:val="00657737"/>
    <w:rsid w:val="00667044"/>
    <w:rsid w:val="00672968"/>
    <w:rsid w:val="00676446"/>
    <w:rsid w:val="00677BC1"/>
    <w:rsid w:val="00682681"/>
    <w:rsid w:val="006874F3"/>
    <w:rsid w:val="00690742"/>
    <w:rsid w:val="00694533"/>
    <w:rsid w:val="006954FD"/>
    <w:rsid w:val="006B1803"/>
    <w:rsid w:val="006B3630"/>
    <w:rsid w:val="006B61EA"/>
    <w:rsid w:val="006C276C"/>
    <w:rsid w:val="006C5639"/>
    <w:rsid w:val="006C6580"/>
    <w:rsid w:val="006D6EDF"/>
    <w:rsid w:val="006E1CAC"/>
    <w:rsid w:val="006E299D"/>
    <w:rsid w:val="006E56E1"/>
    <w:rsid w:val="006F67DA"/>
    <w:rsid w:val="006F7457"/>
    <w:rsid w:val="00720EE1"/>
    <w:rsid w:val="00722C16"/>
    <w:rsid w:val="007336E5"/>
    <w:rsid w:val="007354B1"/>
    <w:rsid w:val="00743732"/>
    <w:rsid w:val="00754F7D"/>
    <w:rsid w:val="007554C7"/>
    <w:rsid w:val="00757F04"/>
    <w:rsid w:val="00762F0C"/>
    <w:rsid w:val="00770ABA"/>
    <w:rsid w:val="0077368D"/>
    <w:rsid w:val="007752AF"/>
    <w:rsid w:val="00784FEF"/>
    <w:rsid w:val="0079310D"/>
    <w:rsid w:val="007943A1"/>
    <w:rsid w:val="007953C0"/>
    <w:rsid w:val="007970AE"/>
    <w:rsid w:val="007A6983"/>
    <w:rsid w:val="007B041F"/>
    <w:rsid w:val="007B1B22"/>
    <w:rsid w:val="007C463E"/>
    <w:rsid w:val="007D77D2"/>
    <w:rsid w:val="007E05B4"/>
    <w:rsid w:val="007E0B89"/>
    <w:rsid w:val="007E631C"/>
    <w:rsid w:val="007F5CCB"/>
    <w:rsid w:val="00820F55"/>
    <w:rsid w:val="008378E9"/>
    <w:rsid w:val="0085089C"/>
    <w:rsid w:val="0086230E"/>
    <w:rsid w:val="00862B14"/>
    <w:rsid w:val="0086422E"/>
    <w:rsid w:val="00894129"/>
    <w:rsid w:val="00894D9C"/>
    <w:rsid w:val="008957B2"/>
    <w:rsid w:val="008A004F"/>
    <w:rsid w:val="008A4619"/>
    <w:rsid w:val="008B7E03"/>
    <w:rsid w:val="008C56B4"/>
    <w:rsid w:val="008D274F"/>
    <w:rsid w:val="008E0659"/>
    <w:rsid w:val="008E73AD"/>
    <w:rsid w:val="008F262C"/>
    <w:rsid w:val="008F4C58"/>
    <w:rsid w:val="008F7C5C"/>
    <w:rsid w:val="0090140A"/>
    <w:rsid w:val="00902FCD"/>
    <w:rsid w:val="00904688"/>
    <w:rsid w:val="00905EE4"/>
    <w:rsid w:val="009153EE"/>
    <w:rsid w:val="00915ABA"/>
    <w:rsid w:val="0091627F"/>
    <w:rsid w:val="00921C26"/>
    <w:rsid w:val="00930288"/>
    <w:rsid w:val="0093201A"/>
    <w:rsid w:val="00934F2F"/>
    <w:rsid w:val="009417D2"/>
    <w:rsid w:val="00947A4C"/>
    <w:rsid w:val="00952CA5"/>
    <w:rsid w:val="00960842"/>
    <w:rsid w:val="009676EB"/>
    <w:rsid w:val="00977A6C"/>
    <w:rsid w:val="00980202"/>
    <w:rsid w:val="00982F45"/>
    <w:rsid w:val="00990EF7"/>
    <w:rsid w:val="00994A3A"/>
    <w:rsid w:val="00994FA5"/>
    <w:rsid w:val="00996287"/>
    <w:rsid w:val="009968CD"/>
    <w:rsid w:val="009A056B"/>
    <w:rsid w:val="009A15FD"/>
    <w:rsid w:val="009A29AB"/>
    <w:rsid w:val="009B0A83"/>
    <w:rsid w:val="009B3B13"/>
    <w:rsid w:val="009E17DD"/>
    <w:rsid w:val="009E3096"/>
    <w:rsid w:val="009E32C8"/>
    <w:rsid w:val="009E5A5E"/>
    <w:rsid w:val="009F4FF4"/>
    <w:rsid w:val="009F67BC"/>
    <w:rsid w:val="009F6EDB"/>
    <w:rsid w:val="00A21CE9"/>
    <w:rsid w:val="00A5448A"/>
    <w:rsid w:val="00A54FC8"/>
    <w:rsid w:val="00A56A94"/>
    <w:rsid w:val="00A60AA1"/>
    <w:rsid w:val="00A80267"/>
    <w:rsid w:val="00A80A43"/>
    <w:rsid w:val="00A816A0"/>
    <w:rsid w:val="00A8656C"/>
    <w:rsid w:val="00A96D3E"/>
    <w:rsid w:val="00AB55C2"/>
    <w:rsid w:val="00AC4C4E"/>
    <w:rsid w:val="00AD460D"/>
    <w:rsid w:val="00AE2A08"/>
    <w:rsid w:val="00AE38B5"/>
    <w:rsid w:val="00AF7D0A"/>
    <w:rsid w:val="00B146E4"/>
    <w:rsid w:val="00B2246A"/>
    <w:rsid w:val="00B24A1D"/>
    <w:rsid w:val="00B41360"/>
    <w:rsid w:val="00B458B3"/>
    <w:rsid w:val="00B46B0D"/>
    <w:rsid w:val="00B619F1"/>
    <w:rsid w:val="00B72A14"/>
    <w:rsid w:val="00BA7C70"/>
    <w:rsid w:val="00BB1973"/>
    <w:rsid w:val="00BC3413"/>
    <w:rsid w:val="00BE4E3E"/>
    <w:rsid w:val="00BF5689"/>
    <w:rsid w:val="00C05FA3"/>
    <w:rsid w:val="00C1225A"/>
    <w:rsid w:val="00C17302"/>
    <w:rsid w:val="00C31205"/>
    <w:rsid w:val="00C3478C"/>
    <w:rsid w:val="00C41DC1"/>
    <w:rsid w:val="00C53EA1"/>
    <w:rsid w:val="00C55B85"/>
    <w:rsid w:val="00C64A4C"/>
    <w:rsid w:val="00C64A5E"/>
    <w:rsid w:val="00C6519F"/>
    <w:rsid w:val="00C830E4"/>
    <w:rsid w:val="00C90BE7"/>
    <w:rsid w:val="00C92469"/>
    <w:rsid w:val="00C96C69"/>
    <w:rsid w:val="00CA593D"/>
    <w:rsid w:val="00CA7BED"/>
    <w:rsid w:val="00CB299A"/>
    <w:rsid w:val="00CB4ED2"/>
    <w:rsid w:val="00CC40E2"/>
    <w:rsid w:val="00CD2E56"/>
    <w:rsid w:val="00CE02F9"/>
    <w:rsid w:val="00CE39D1"/>
    <w:rsid w:val="00CF299E"/>
    <w:rsid w:val="00CF5277"/>
    <w:rsid w:val="00D2021A"/>
    <w:rsid w:val="00D205EF"/>
    <w:rsid w:val="00D238A4"/>
    <w:rsid w:val="00D50AFC"/>
    <w:rsid w:val="00D51F10"/>
    <w:rsid w:val="00D62E0A"/>
    <w:rsid w:val="00D646B7"/>
    <w:rsid w:val="00D66021"/>
    <w:rsid w:val="00D85EE0"/>
    <w:rsid w:val="00DA2760"/>
    <w:rsid w:val="00DB047B"/>
    <w:rsid w:val="00DE22CE"/>
    <w:rsid w:val="00DE4C4F"/>
    <w:rsid w:val="00DF7135"/>
    <w:rsid w:val="00E044FF"/>
    <w:rsid w:val="00E06125"/>
    <w:rsid w:val="00E0710A"/>
    <w:rsid w:val="00E15007"/>
    <w:rsid w:val="00E223AB"/>
    <w:rsid w:val="00E26388"/>
    <w:rsid w:val="00E5702F"/>
    <w:rsid w:val="00E63128"/>
    <w:rsid w:val="00E668BA"/>
    <w:rsid w:val="00E8401A"/>
    <w:rsid w:val="00E86249"/>
    <w:rsid w:val="00EA310D"/>
    <w:rsid w:val="00EA6CE4"/>
    <w:rsid w:val="00EB4375"/>
    <w:rsid w:val="00EC062F"/>
    <w:rsid w:val="00EC14D6"/>
    <w:rsid w:val="00EC1783"/>
    <w:rsid w:val="00EC1EFB"/>
    <w:rsid w:val="00EC26EF"/>
    <w:rsid w:val="00EC6E01"/>
    <w:rsid w:val="00EE3FD6"/>
    <w:rsid w:val="00EF6688"/>
    <w:rsid w:val="00F1543C"/>
    <w:rsid w:val="00F26FDD"/>
    <w:rsid w:val="00F36D29"/>
    <w:rsid w:val="00F54370"/>
    <w:rsid w:val="00F81B0B"/>
    <w:rsid w:val="00F87729"/>
    <w:rsid w:val="00F93B2F"/>
    <w:rsid w:val="00FA62CB"/>
    <w:rsid w:val="00FB3E2B"/>
    <w:rsid w:val="00FB4A93"/>
    <w:rsid w:val="00FB5058"/>
    <w:rsid w:val="00FC2E20"/>
    <w:rsid w:val="00FD2701"/>
    <w:rsid w:val="00FE6F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7F42"/>
  <w15:chartTrackingRefBased/>
  <w15:docId w15:val="{01ADE036-8D42-45D6-AB35-66E0400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E2"/>
    <w:pPr>
      <w:jc w:val="both"/>
    </w:pPr>
  </w:style>
  <w:style w:type="paragraph" w:styleId="Titre1">
    <w:name w:val="heading 1"/>
    <w:basedOn w:val="Normal"/>
    <w:next w:val="Normal"/>
    <w:link w:val="Titre1Car"/>
    <w:uiPriority w:val="9"/>
    <w:qFormat/>
    <w:rsid w:val="00667044"/>
    <w:pPr>
      <w:keepNext/>
      <w:keepLines/>
      <w:spacing w:before="240" w:after="1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667044"/>
    <w:pPr>
      <w:keepNext/>
      <w:keepLines/>
      <w:spacing w:before="120" w:after="120"/>
      <w:outlineLvl w:val="1"/>
    </w:pPr>
    <w:rPr>
      <w:rFonts w:eastAsiaTheme="majorEastAsia" w:cstheme="majorBidi"/>
      <w:color w:val="2E74B5" w:themeColor="accent1" w:themeShade="BF"/>
      <w:szCs w:val="26"/>
    </w:rPr>
  </w:style>
  <w:style w:type="paragraph" w:styleId="Titre3">
    <w:name w:val="heading 3"/>
    <w:basedOn w:val="Normal"/>
    <w:next w:val="Normal"/>
    <w:link w:val="Titre3Car"/>
    <w:uiPriority w:val="9"/>
    <w:semiHidden/>
    <w:unhideWhenUsed/>
    <w:qFormat/>
    <w:rsid w:val="00667044"/>
    <w:pPr>
      <w:keepNext/>
      <w:keepLines/>
      <w:spacing w:before="40" w:after="0"/>
      <w:outlineLvl w:val="2"/>
    </w:pPr>
    <w:rPr>
      <w:rFonts w:asciiTheme="majorHAnsi" w:eastAsiaTheme="majorEastAsia" w:hAnsiTheme="majorHAnsi" w:cstheme="majorBidi"/>
      <w:i/>
      <w:color w:val="2E74B5" w:themeColor="accent1" w:themeShade="BF"/>
      <w:szCs w:val="24"/>
    </w:rPr>
  </w:style>
  <w:style w:type="paragraph" w:styleId="Titre4">
    <w:name w:val="heading 4"/>
    <w:basedOn w:val="Normal"/>
    <w:next w:val="Normal"/>
    <w:link w:val="Titre4Car"/>
    <w:uiPriority w:val="9"/>
    <w:semiHidden/>
    <w:unhideWhenUsed/>
    <w:qFormat/>
    <w:rsid w:val="00A80267"/>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67044"/>
    <w:pPr>
      <w:spacing w:after="200" w:line="276" w:lineRule="auto"/>
      <w:ind w:left="720"/>
      <w:contextualSpacing/>
    </w:pPr>
  </w:style>
  <w:style w:type="character" w:customStyle="1" w:styleId="Titre1Car">
    <w:name w:val="Titre 1 Car"/>
    <w:basedOn w:val="Policepardfaut"/>
    <w:link w:val="Titre1"/>
    <w:uiPriority w:val="9"/>
    <w:rsid w:val="00667044"/>
    <w:rPr>
      <w:rFonts w:eastAsiaTheme="majorEastAsia" w:cstheme="majorBidi"/>
      <w:b/>
      <w:color w:val="2E74B5" w:themeColor="accent1" w:themeShade="BF"/>
      <w:sz w:val="24"/>
      <w:szCs w:val="32"/>
    </w:rPr>
  </w:style>
  <w:style w:type="paragraph" w:styleId="Titre">
    <w:name w:val="Title"/>
    <w:basedOn w:val="Normal"/>
    <w:next w:val="Normal"/>
    <w:link w:val="TitreCar"/>
    <w:uiPriority w:val="10"/>
    <w:qFormat/>
    <w:rsid w:val="00894129"/>
    <w:pPr>
      <w:spacing w:after="240" w:line="240" w:lineRule="auto"/>
      <w:contextualSpacing/>
      <w:jc w:val="center"/>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894129"/>
    <w:rPr>
      <w:rFonts w:eastAsiaTheme="majorEastAsia" w:cstheme="majorBidi"/>
      <w:b/>
      <w:spacing w:val="-10"/>
      <w:kern w:val="28"/>
      <w:sz w:val="28"/>
      <w:szCs w:val="56"/>
    </w:rPr>
  </w:style>
  <w:style w:type="character" w:customStyle="1" w:styleId="Titre2Car">
    <w:name w:val="Titre 2 Car"/>
    <w:basedOn w:val="Policepardfaut"/>
    <w:link w:val="Titre2"/>
    <w:uiPriority w:val="9"/>
    <w:rsid w:val="00667044"/>
    <w:rPr>
      <w:rFonts w:eastAsiaTheme="majorEastAsia" w:cstheme="majorBidi"/>
      <w:color w:val="2E74B5" w:themeColor="accent1" w:themeShade="BF"/>
      <w:szCs w:val="26"/>
    </w:rPr>
  </w:style>
  <w:style w:type="character" w:customStyle="1" w:styleId="Titre3Car">
    <w:name w:val="Titre 3 Car"/>
    <w:basedOn w:val="Policepardfaut"/>
    <w:link w:val="Titre3"/>
    <w:uiPriority w:val="9"/>
    <w:rsid w:val="00667044"/>
    <w:rPr>
      <w:rFonts w:asciiTheme="majorHAnsi" w:eastAsiaTheme="majorEastAsia" w:hAnsiTheme="majorHAnsi" w:cstheme="majorBidi"/>
      <w:i/>
      <w:color w:val="2E74B5" w:themeColor="accent1" w:themeShade="BF"/>
      <w:szCs w:val="24"/>
    </w:rPr>
  </w:style>
  <w:style w:type="paragraph" w:styleId="En-tte">
    <w:name w:val="header"/>
    <w:basedOn w:val="Normal"/>
    <w:link w:val="En-tteCar"/>
    <w:uiPriority w:val="99"/>
    <w:unhideWhenUsed/>
    <w:rsid w:val="001262BC"/>
    <w:pPr>
      <w:tabs>
        <w:tab w:val="center" w:pos="4320"/>
        <w:tab w:val="right" w:pos="8640"/>
      </w:tabs>
      <w:spacing w:after="0" w:line="240" w:lineRule="auto"/>
    </w:pPr>
  </w:style>
  <w:style w:type="character" w:customStyle="1" w:styleId="En-tteCar">
    <w:name w:val="En-tête Car"/>
    <w:basedOn w:val="Policepardfaut"/>
    <w:link w:val="En-tte"/>
    <w:uiPriority w:val="99"/>
    <w:rsid w:val="001262BC"/>
  </w:style>
  <w:style w:type="paragraph" w:styleId="Pieddepage">
    <w:name w:val="footer"/>
    <w:basedOn w:val="Normal"/>
    <w:link w:val="PieddepageCar"/>
    <w:uiPriority w:val="99"/>
    <w:unhideWhenUsed/>
    <w:rsid w:val="001262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62BC"/>
  </w:style>
  <w:style w:type="character" w:styleId="Lienhypertexte">
    <w:name w:val="Hyperlink"/>
    <w:basedOn w:val="Policepardfaut"/>
    <w:uiPriority w:val="99"/>
    <w:unhideWhenUsed/>
    <w:rsid w:val="00CF5277"/>
    <w:rPr>
      <w:color w:val="0563C1" w:themeColor="hyperlink"/>
      <w:u w:val="single"/>
    </w:rPr>
  </w:style>
  <w:style w:type="character" w:customStyle="1" w:styleId="Titre4Car">
    <w:name w:val="Titre 4 Car"/>
    <w:basedOn w:val="Policepardfaut"/>
    <w:link w:val="Titre4"/>
    <w:uiPriority w:val="9"/>
    <w:semiHidden/>
    <w:rsid w:val="00A80267"/>
    <w:rPr>
      <w:rFonts w:asciiTheme="majorHAnsi" w:eastAsiaTheme="majorEastAsia" w:hAnsiTheme="majorHAnsi" w:cstheme="majorBidi"/>
      <w:iCs/>
      <w:color w:val="2E74B5" w:themeColor="accent1" w:themeShade="BF"/>
    </w:rPr>
  </w:style>
  <w:style w:type="character" w:styleId="Marquedecommentaire">
    <w:name w:val="annotation reference"/>
    <w:basedOn w:val="Policepardfaut"/>
    <w:uiPriority w:val="99"/>
    <w:semiHidden/>
    <w:unhideWhenUsed/>
    <w:rsid w:val="005F12DE"/>
    <w:rPr>
      <w:sz w:val="16"/>
      <w:szCs w:val="16"/>
    </w:rPr>
  </w:style>
  <w:style w:type="paragraph" w:styleId="Commentaire">
    <w:name w:val="annotation text"/>
    <w:basedOn w:val="Normal"/>
    <w:link w:val="CommentaireCar"/>
    <w:uiPriority w:val="99"/>
    <w:unhideWhenUsed/>
    <w:rsid w:val="005F12DE"/>
    <w:pPr>
      <w:spacing w:line="240" w:lineRule="auto"/>
    </w:pPr>
    <w:rPr>
      <w:sz w:val="20"/>
      <w:szCs w:val="20"/>
    </w:rPr>
  </w:style>
  <w:style w:type="character" w:customStyle="1" w:styleId="CommentaireCar">
    <w:name w:val="Commentaire Car"/>
    <w:basedOn w:val="Policepardfaut"/>
    <w:link w:val="Commentaire"/>
    <w:uiPriority w:val="99"/>
    <w:rsid w:val="005F12DE"/>
    <w:rPr>
      <w:sz w:val="20"/>
      <w:szCs w:val="20"/>
    </w:rPr>
  </w:style>
  <w:style w:type="paragraph" w:styleId="Objetducommentaire">
    <w:name w:val="annotation subject"/>
    <w:basedOn w:val="Commentaire"/>
    <w:next w:val="Commentaire"/>
    <w:link w:val="ObjetducommentaireCar"/>
    <w:uiPriority w:val="99"/>
    <w:semiHidden/>
    <w:unhideWhenUsed/>
    <w:rsid w:val="005F12DE"/>
    <w:rPr>
      <w:b/>
      <w:bCs/>
    </w:rPr>
  </w:style>
  <w:style w:type="character" w:customStyle="1" w:styleId="ObjetducommentaireCar">
    <w:name w:val="Objet du commentaire Car"/>
    <w:basedOn w:val="CommentaireCar"/>
    <w:link w:val="Objetducommentaire"/>
    <w:uiPriority w:val="99"/>
    <w:semiHidden/>
    <w:rsid w:val="005F12DE"/>
    <w:rPr>
      <w:b/>
      <w:bCs/>
      <w:sz w:val="20"/>
      <w:szCs w:val="20"/>
    </w:rPr>
  </w:style>
  <w:style w:type="paragraph" w:styleId="Textedebulles">
    <w:name w:val="Balloon Text"/>
    <w:basedOn w:val="Normal"/>
    <w:link w:val="TextedebullesCar"/>
    <w:uiPriority w:val="99"/>
    <w:semiHidden/>
    <w:unhideWhenUsed/>
    <w:rsid w:val="005F12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12DE"/>
    <w:rPr>
      <w:rFonts w:ascii="Segoe UI" w:hAnsi="Segoe UI" w:cs="Segoe UI"/>
      <w:sz w:val="18"/>
      <w:szCs w:val="18"/>
    </w:rPr>
  </w:style>
  <w:style w:type="table" w:styleId="Grilledutableau">
    <w:name w:val="Table Grid"/>
    <w:basedOn w:val="TableauNormal"/>
    <w:uiPriority w:val="39"/>
    <w:rsid w:val="005F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2F04C9"/>
    <w:pPr>
      <w:spacing w:after="0" w:line="240" w:lineRule="auto"/>
    </w:pPr>
    <w:rPr>
      <w:rFonts w:ascii="Times New Roman" w:eastAsia="Times New Roman" w:hAnsi="Times New Roman" w:cs="Times New Roman"/>
      <w:sz w:val="24"/>
      <w:szCs w:val="20"/>
      <w:lang w:eastAsia="fr-CA"/>
    </w:rPr>
  </w:style>
  <w:style w:type="character" w:customStyle="1" w:styleId="Corpsdetexte2Car">
    <w:name w:val="Corps de texte 2 Car"/>
    <w:basedOn w:val="Policepardfaut"/>
    <w:link w:val="Corpsdetexte2"/>
    <w:uiPriority w:val="99"/>
    <w:rsid w:val="002F04C9"/>
    <w:rPr>
      <w:rFonts w:ascii="Times New Roman" w:eastAsia="Times New Roman" w:hAnsi="Times New Roman" w:cs="Times New Roman"/>
      <w:sz w:val="24"/>
      <w:szCs w:val="20"/>
      <w:lang w:eastAsia="fr-CA"/>
    </w:rPr>
  </w:style>
  <w:style w:type="character" w:customStyle="1" w:styleId="texte-courant1">
    <w:name w:val="texte-courant1"/>
    <w:basedOn w:val="Policepardfaut"/>
    <w:rsid w:val="004A7D3A"/>
  </w:style>
  <w:style w:type="paragraph" w:customStyle="1" w:styleId="Default">
    <w:name w:val="Default"/>
    <w:rsid w:val="007E631C"/>
    <w:pPr>
      <w:autoSpaceDE w:val="0"/>
      <w:autoSpaceDN w:val="0"/>
      <w:adjustRightInd w:val="0"/>
      <w:spacing w:after="0"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263D76"/>
    <w:rPr>
      <w:color w:val="605E5C"/>
      <w:shd w:val="clear" w:color="auto" w:fill="E1DFDD"/>
    </w:rPr>
  </w:style>
  <w:style w:type="character" w:customStyle="1" w:styleId="ParagraphedelisteCar">
    <w:name w:val="Paragraphe de liste Car"/>
    <w:link w:val="Paragraphedeliste"/>
    <w:uiPriority w:val="34"/>
    <w:locked/>
    <w:rsid w:val="0098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roy@opc.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DFFA1.541BD4A0"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elT\Documents\Modele%20document%20administratif%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C584F-6DFB-407C-8746-870039CC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document administratif avec styles</Template>
  <TotalTime>9</TotalTime>
  <Pages>4</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Thériault, Raphaël</dc:creator>
  <cp:keywords/>
  <dc:description/>
  <cp:lastModifiedBy>Toupin, Nicholas</cp:lastModifiedBy>
  <cp:revision>14</cp:revision>
  <cp:lastPrinted>2018-12-04T14:58:00Z</cp:lastPrinted>
  <dcterms:created xsi:type="dcterms:W3CDTF">2019-07-12T19:28:00Z</dcterms:created>
  <dcterms:modified xsi:type="dcterms:W3CDTF">2019-07-12T19:36:00Z</dcterms:modified>
</cp:coreProperties>
</file>