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7BB0A" w14:textId="36882A7C" w:rsidR="002B6BA3" w:rsidRPr="003A696F" w:rsidRDefault="007F3132" w:rsidP="00162952">
      <w:pPr>
        <w:pStyle w:val="couvtypededocumentdate"/>
      </w:pPr>
      <w:r>
        <w:t xml:space="preserve">document de </w:t>
      </w:r>
      <w:proofErr w:type="gramStart"/>
      <w:r>
        <w:t>consultation</w:t>
      </w:r>
      <w:r w:rsidR="002B6BA3" w:rsidRPr="003A696F">
        <w:t xml:space="preserve">  </w:t>
      </w:r>
      <w:r w:rsidR="00584DDD" w:rsidRPr="00ED29E8">
        <w:rPr>
          <w:rStyle w:val="vertcouleurcaractres"/>
          <w:b/>
        </w:rPr>
        <w:t>|</w:t>
      </w:r>
      <w:proofErr w:type="gramEnd"/>
      <w:r w:rsidR="00D54077" w:rsidRPr="003A696F">
        <w:t xml:space="preserve">  </w:t>
      </w:r>
      <w:sdt>
        <w:sdtPr>
          <w:alias w:val="Date de publication"/>
          <w:tag w:val=""/>
          <w:id w:val="1842042703"/>
          <w:placeholder>
            <w:docPart w:val="6CFE0705B6BC48EE867626952743AA69"/>
          </w:placeholder>
          <w:dataBinding w:prefixMappings="xmlns:ns0='http://schemas.microsoft.com/office/2006/coverPageProps' " w:xpath="/ns0:CoverPageProperties[1]/ns0:PublishDate[1]" w:storeItemID="{55AF091B-3C7A-41E3-B477-F2FDAA23CFDA}"/>
          <w:date w:fullDate="2019-10-30T00:00:00Z">
            <w:dateFormat w:val="yyyy-MM-dd"/>
            <w:lid w:val="fr-CA"/>
            <w:storeMappedDataAs w:val="dateTime"/>
            <w:calendar w:val="gregorian"/>
          </w:date>
        </w:sdtPr>
        <w:sdtEndPr/>
        <w:sdtContent>
          <w:r w:rsidR="00010D07">
            <w:t>2019-10-</w:t>
          </w:r>
          <w:r w:rsidR="00340CF4">
            <w:t>30</w:t>
          </w:r>
        </w:sdtContent>
      </w:sdt>
    </w:p>
    <w:p w14:paraId="642F5D73" w14:textId="77777777" w:rsidR="00584DDD" w:rsidRPr="00267D98" w:rsidRDefault="00584DDD" w:rsidP="00162952">
      <w:pPr>
        <w:pStyle w:val="couvnomopc"/>
      </w:pPr>
      <w:r w:rsidRPr="00267D98">
        <w:t>Office de la protection du consommateur</w:t>
      </w:r>
    </w:p>
    <w:p w14:paraId="56BC3041" w14:textId="010E17E0" w:rsidR="007F3132" w:rsidRDefault="007F3132" w:rsidP="007F3132">
      <w:pPr>
        <w:pStyle w:val="couvsurtitre"/>
      </w:pPr>
      <w:r>
        <w:t xml:space="preserve">RÉVISION DE LA LOI </w:t>
      </w:r>
      <w:r>
        <w:br/>
        <w:t>SUR LA PROTECTION DU CONSOMMATEUR</w:t>
      </w:r>
    </w:p>
    <w:p w14:paraId="73C37A22" w14:textId="5C24B68C" w:rsidR="002B6BA3" w:rsidRPr="007F3132" w:rsidRDefault="007F3132" w:rsidP="00162952">
      <w:pPr>
        <w:pStyle w:val="couvtitreprincipal"/>
        <w:rPr>
          <w:rStyle w:val="caractresgras"/>
          <w:sz w:val="56"/>
          <w:szCs w:val="56"/>
        </w:rPr>
      </w:pPr>
      <w:r w:rsidRPr="007F3132">
        <w:rPr>
          <w:rStyle w:val="caractresgras"/>
          <w:sz w:val="56"/>
          <w:szCs w:val="56"/>
        </w:rPr>
        <w:t>Durabilité et réparabilité</w:t>
      </w:r>
    </w:p>
    <w:p w14:paraId="077C0330" w14:textId="76E60843" w:rsidR="007F3132" w:rsidRPr="007F3132" w:rsidRDefault="007F3132" w:rsidP="00162952">
      <w:pPr>
        <w:pStyle w:val="couvtitreprincipal"/>
        <w:rPr>
          <w:sz w:val="56"/>
          <w:szCs w:val="56"/>
        </w:rPr>
      </w:pPr>
      <w:r w:rsidRPr="007F3132">
        <w:rPr>
          <w:sz w:val="56"/>
          <w:szCs w:val="56"/>
        </w:rPr>
        <w:t>des biens</w:t>
      </w:r>
    </w:p>
    <w:p w14:paraId="3811C644" w14:textId="77777777" w:rsidR="00046EBC" w:rsidRDefault="00046EBC" w:rsidP="00046EBC">
      <w:pPr>
        <w:pStyle w:val="couvsous-titre"/>
        <w:spacing w:before="480" w:after="600"/>
      </w:pPr>
      <w:bookmarkStart w:id="0" w:name="_Toc476037609"/>
      <w:bookmarkStart w:id="1" w:name="_Toc476037772"/>
      <w:bookmarkStart w:id="2" w:name="_Toc476037828"/>
      <w:bookmarkStart w:id="3" w:name="_Toc476042850"/>
      <w:bookmarkStart w:id="4" w:name="_Toc476043085"/>
      <w:r w:rsidRPr="00AC37EF">
        <w:t>Commentaires de : [</w:t>
      </w:r>
      <w:r w:rsidRPr="00AC37EF">
        <w:rPr>
          <w:b/>
          <w:bCs/>
        </w:rPr>
        <w:t>NOM</w:t>
      </w:r>
      <w:r w:rsidRPr="00AC37EF">
        <w:t>]</w:t>
      </w:r>
      <w:r w:rsidRPr="00765A9D">
        <w:rPr>
          <w:noProof/>
        </w:rPr>
        <w:t xml:space="preserve"> </w:t>
      </w:r>
    </w:p>
    <w:bookmarkStart w:id="5" w:name="_Toc476056162"/>
    <w:bookmarkStart w:id="6" w:name="_Toc476056581"/>
    <w:bookmarkStart w:id="7" w:name="_Toc476056905"/>
    <w:bookmarkStart w:id="8" w:name="_Toc476057092"/>
    <w:bookmarkStart w:id="9" w:name="_Toc476057805"/>
    <w:bookmarkStart w:id="10" w:name="_Toc476833330"/>
    <w:bookmarkStart w:id="11" w:name="_Toc477871579"/>
    <w:bookmarkStart w:id="12" w:name="_Toc478113840"/>
    <w:bookmarkStart w:id="13" w:name="_Toc478479207"/>
    <w:bookmarkEnd w:id="0"/>
    <w:bookmarkEnd w:id="1"/>
    <w:bookmarkEnd w:id="2"/>
    <w:bookmarkEnd w:id="3"/>
    <w:bookmarkEnd w:id="4"/>
    <w:p w14:paraId="42C4F00D" w14:textId="2879C6AF" w:rsidR="0047776A" w:rsidRDefault="007D4221">
      <w:pPr>
        <w:pStyle w:val="TM1"/>
        <w:rPr>
          <w:rFonts w:asciiTheme="minorHAnsi" w:eastAsiaTheme="minorEastAsia" w:hAnsiTheme="minorHAnsi" w:cstheme="minorBidi"/>
          <w:b w:val="0"/>
          <w:color w:val="auto"/>
          <w:lang w:eastAsia="fr-CA"/>
        </w:rPr>
      </w:pPr>
      <w:r>
        <w:fldChar w:fldCharType="begin"/>
      </w:r>
      <w:r>
        <w:instrText xml:space="preserve"> TOC \h \z \t "Titre 2;1;Titre 2 (numéroté);2" </w:instrText>
      </w:r>
      <w:r>
        <w:fldChar w:fldCharType="separate"/>
      </w:r>
      <w:hyperlink w:anchor="_Toc23239713" w:history="1">
        <w:r w:rsidR="0047776A" w:rsidRPr="0058344B">
          <w:rPr>
            <w:rStyle w:val="Lienhypertexte"/>
          </w:rPr>
          <w:t>Contexte</w:t>
        </w:r>
        <w:r w:rsidR="0047776A">
          <w:rPr>
            <w:webHidden/>
          </w:rPr>
          <w:tab/>
        </w:r>
        <w:r w:rsidR="0047776A">
          <w:rPr>
            <w:webHidden/>
          </w:rPr>
          <w:fldChar w:fldCharType="begin"/>
        </w:r>
        <w:r w:rsidR="0047776A">
          <w:rPr>
            <w:webHidden/>
          </w:rPr>
          <w:instrText xml:space="preserve"> PAGEREF _Toc23239713 \h </w:instrText>
        </w:r>
        <w:r w:rsidR="0047776A">
          <w:rPr>
            <w:webHidden/>
          </w:rPr>
        </w:r>
        <w:r w:rsidR="0047776A">
          <w:rPr>
            <w:webHidden/>
          </w:rPr>
          <w:fldChar w:fldCharType="separate"/>
        </w:r>
        <w:r w:rsidR="0047776A">
          <w:rPr>
            <w:webHidden/>
          </w:rPr>
          <w:t>1</w:t>
        </w:r>
        <w:r w:rsidR="0047776A">
          <w:rPr>
            <w:webHidden/>
          </w:rPr>
          <w:fldChar w:fldCharType="end"/>
        </w:r>
      </w:hyperlink>
    </w:p>
    <w:p w14:paraId="183A070E" w14:textId="5876C691" w:rsidR="0047776A" w:rsidRDefault="000731B2">
      <w:pPr>
        <w:pStyle w:val="TM2"/>
        <w:rPr>
          <w:rFonts w:asciiTheme="minorHAnsi" w:eastAsiaTheme="minorEastAsia" w:hAnsiTheme="minorHAnsi" w:cstheme="minorBidi"/>
          <w:b w:val="0"/>
          <w:color w:val="auto"/>
          <w:lang w:eastAsia="fr-CA"/>
        </w:rPr>
      </w:pPr>
      <w:hyperlink w:anchor="_Toc23239714" w:history="1">
        <w:r w:rsidR="0047776A" w:rsidRPr="0058344B">
          <w:rPr>
            <w:rStyle w:val="Lienhypertexte"/>
          </w:rPr>
          <w:t>1</w:t>
        </w:r>
        <w:r w:rsidR="0047776A">
          <w:rPr>
            <w:rFonts w:asciiTheme="minorHAnsi" w:eastAsiaTheme="minorEastAsia" w:hAnsiTheme="minorHAnsi" w:cstheme="minorBidi"/>
            <w:b w:val="0"/>
            <w:color w:val="auto"/>
            <w:lang w:eastAsia="fr-CA"/>
          </w:rPr>
          <w:tab/>
        </w:r>
        <w:r w:rsidR="0047776A" w:rsidRPr="0058344B">
          <w:rPr>
            <w:rStyle w:val="Lienhypertexte"/>
          </w:rPr>
          <w:t>Durabilité des appareils domestiques</w:t>
        </w:r>
        <w:r w:rsidR="0047776A">
          <w:rPr>
            <w:webHidden/>
          </w:rPr>
          <w:tab/>
        </w:r>
        <w:r w:rsidR="0047776A">
          <w:rPr>
            <w:webHidden/>
          </w:rPr>
          <w:fldChar w:fldCharType="begin"/>
        </w:r>
        <w:r w:rsidR="0047776A">
          <w:rPr>
            <w:webHidden/>
          </w:rPr>
          <w:instrText xml:space="preserve"> PAGEREF _Toc23239714 \h </w:instrText>
        </w:r>
        <w:r w:rsidR="0047776A">
          <w:rPr>
            <w:webHidden/>
          </w:rPr>
        </w:r>
        <w:r w:rsidR="0047776A">
          <w:rPr>
            <w:webHidden/>
          </w:rPr>
          <w:fldChar w:fldCharType="separate"/>
        </w:r>
        <w:r w:rsidR="0047776A">
          <w:rPr>
            <w:webHidden/>
          </w:rPr>
          <w:t>2</w:t>
        </w:r>
        <w:r w:rsidR="0047776A">
          <w:rPr>
            <w:webHidden/>
          </w:rPr>
          <w:fldChar w:fldCharType="end"/>
        </w:r>
      </w:hyperlink>
    </w:p>
    <w:p w14:paraId="052D5FE2" w14:textId="76EB5A6B" w:rsidR="0047776A" w:rsidRDefault="000731B2">
      <w:pPr>
        <w:pStyle w:val="TM2"/>
        <w:rPr>
          <w:rFonts w:asciiTheme="minorHAnsi" w:eastAsiaTheme="minorEastAsia" w:hAnsiTheme="minorHAnsi" w:cstheme="minorBidi"/>
          <w:b w:val="0"/>
          <w:color w:val="auto"/>
          <w:lang w:eastAsia="fr-CA"/>
        </w:rPr>
      </w:pPr>
      <w:hyperlink w:anchor="_Toc23239715" w:history="1">
        <w:r w:rsidR="0047776A" w:rsidRPr="0058344B">
          <w:rPr>
            <w:rStyle w:val="Lienhypertexte"/>
          </w:rPr>
          <w:t>2</w:t>
        </w:r>
        <w:r w:rsidR="0047776A">
          <w:rPr>
            <w:rFonts w:asciiTheme="minorHAnsi" w:eastAsiaTheme="minorEastAsia" w:hAnsiTheme="minorHAnsi" w:cstheme="minorBidi"/>
            <w:b w:val="0"/>
            <w:color w:val="auto"/>
            <w:lang w:eastAsia="fr-CA"/>
          </w:rPr>
          <w:tab/>
        </w:r>
        <w:r w:rsidR="0047776A" w:rsidRPr="0058344B">
          <w:rPr>
            <w:rStyle w:val="Lienhypertexte"/>
          </w:rPr>
          <w:t>Réparabilité des biens</w:t>
        </w:r>
        <w:r w:rsidR="0047776A">
          <w:rPr>
            <w:webHidden/>
          </w:rPr>
          <w:tab/>
        </w:r>
        <w:r w:rsidR="0047776A">
          <w:rPr>
            <w:webHidden/>
          </w:rPr>
          <w:fldChar w:fldCharType="begin"/>
        </w:r>
        <w:r w:rsidR="0047776A">
          <w:rPr>
            <w:webHidden/>
          </w:rPr>
          <w:instrText xml:space="preserve"> PAGEREF _Toc23239715 \h </w:instrText>
        </w:r>
        <w:r w:rsidR="0047776A">
          <w:rPr>
            <w:webHidden/>
          </w:rPr>
        </w:r>
        <w:r w:rsidR="0047776A">
          <w:rPr>
            <w:webHidden/>
          </w:rPr>
          <w:fldChar w:fldCharType="separate"/>
        </w:r>
        <w:r w:rsidR="0047776A">
          <w:rPr>
            <w:webHidden/>
          </w:rPr>
          <w:t>4</w:t>
        </w:r>
        <w:r w:rsidR="0047776A">
          <w:rPr>
            <w:webHidden/>
          </w:rPr>
          <w:fldChar w:fldCharType="end"/>
        </w:r>
      </w:hyperlink>
    </w:p>
    <w:p w14:paraId="38C412A1" w14:textId="451E681A" w:rsidR="0047776A" w:rsidRDefault="000731B2">
      <w:pPr>
        <w:pStyle w:val="TM2"/>
        <w:rPr>
          <w:rFonts w:asciiTheme="minorHAnsi" w:eastAsiaTheme="minorEastAsia" w:hAnsiTheme="minorHAnsi" w:cstheme="minorBidi"/>
          <w:b w:val="0"/>
          <w:color w:val="auto"/>
          <w:lang w:eastAsia="fr-CA"/>
        </w:rPr>
      </w:pPr>
      <w:hyperlink w:anchor="_Toc23239716" w:history="1">
        <w:r w:rsidR="0047776A" w:rsidRPr="0058344B">
          <w:rPr>
            <w:rStyle w:val="Lienhypertexte"/>
          </w:rPr>
          <w:t>3</w:t>
        </w:r>
        <w:r w:rsidR="0047776A">
          <w:rPr>
            <w:rFonts w:asciiTheme="minorHAnsi" w:eastAsiaTheme="minorEastAsia" w:hAnsiTheme="minorHAnsi" w:cstheme="minorBidi"/>
            <w:b w:val="0"/>
            <w:color w:val="auto"/>
            <w:lang w:eastAsia="fr-CA"/>
          </w:rPr>
          <w:tab/>
        </w:r>
        <w:r w:rsidR="0047776A" w:rsidRPr="0058344B">
          <w:rPr>
            <w:rStyle w:val="Lienhypertexte"/>
          </w:rPr>
          <w:t>Obsolescence planifiée</w:t>
        </w:r>
        <w:r w:rsidR="0047776A">
          <w:rPr>
            <w:webHidden/>
          </w:rPr>
          <w:tab/>
        </w:r>
        <w:r w:rsidR="0047776A">
          <w:rPr>
            <w:webHidden/>
          </w:rPr>
          <w:fldChar w:fldCharType="begin"/>
        </w:r>
        <w:r w:rsidR="0047776A">
          <w:rPr>
            <w:webHidden/>
          </w:rPr>
          <w:instrText xml:space="preserve"> PAGEREF _Toc23239716 \h </w:instrText>
        </w:r>
        <w:r w:rsidR="0047776A">
          <w:rPr>
            <w:webHidden/>
          </w:rPr>
        </w:r>
        <w:r w:rsidR="0047776A">
          <w:rPr>
            <w:webHidden/>
          </w:rPr>
          <w:fldChar w:fldCharType="separate"/>
        </w:r>
        <w:r w:rsidR="0047776A">
          <w:rPr>
            <w:webHidden/>
          </w:rPr>
          <w:t>7</w:t>
        </w:r>
        <w:r w:rsidR="0047776A">
          <w:rPr>
            <w:webHidden/>
          </w:rPr>
          <w:fldChar w:fldCharType="end"/>
        </w:r>
      </w:hyperlink>
    </w:p>
    <w:p w14:paraId="550B86CD" w14:textId="262D05C2" w:rsidR="0047776A" w:rsidRDefault="000731B2">
      <w:pPr>
        <w:pStyle w:val="TM2"/>
        <w:rPr>
          <w:rFonts w:asciiTheme="minorHAnsi" w:eastAsiaTheme="minorEastAsia" w:hAnsiTheme="minorHAnsi" w:cstheme="minorBidi"/>
          <w:b w:val="0"/>
          <w:color w:val="auto"/>
          <w:lang w:eastAsia="fr-CA"/>
        </w:rPr>
      </w:pPr>
      <w:hyperlink w:anchor="_Toc23239717" w:history="1">
        <w:r w:rsidR="0047776A" w:rsidRPr="0058344B">
          <w:rPr>
            <w:rStyle w:val="Lienhypertexte"/>
          </w:rPr>
          <w:t>4</w:t>
        </w:r>
        <w:r w:rsidR="0047776A">
          <w:rPr>
            <w:rFonts w:asciiTheme="minorHAnsi" w:eastAsiaTheme="minorEastAsia" w:hAnsiTheme="minorHAnsi" w:cstheme="minorBidi"/>
            <w:b w:val="0"/>
            <w:color w:val="auto"/>
            <w:lang w:eastAsia="fr-CA"/>
          </w:rPr>
          <w:tab/>
        </w:r>
        <w:r w:rsidR="0047776A" w:rsidRPr="0058344B">
          <w:rPr>
            <w:rStyle w:val="Lienhypertexte"/>
          </w:rPr>
          <w:t>Recours et sanctions</w:t>
        </w:r>
        <w:r w:rsidR="0047776A">
          <w:rPr>
            <w:webHidden/>
          </w:rPr>
          <w:tab/>
        </w:r>
        <w:r w:rsidR="0047776A">
          <w:rPr>
            <w:webHidden/>
          </w:rPr>
          <w:fldChar w:fldCharType="begin"/>
        </w:r>
        <w:r w:rsidR="0047776A">
          <w:rPr>
            <w:webHidden/>
          </w:rPr>
          <w:instrText xml:space="preserve"> PAGEREF _Toc23239717 \h </w:instrText>
        </w:r>
        <w:r w:rsidR="0047776A">
          <w:rPr>
            <w:webHidden/>
          </w:rPr>
        </w:r>
        <w:r w:rsidR="0047776A">
          <w:rPr>
            <w:webHidden/>
          </w:rPr>
          <w:fldChar w:fldCharType="separate"/>
        </w:r>
        <w:r w:rsidR="0047776A">
          <w:rPr>
            <w:webHidden/>
          </w:rPr>
          <w:t>9</w:t>
        </w:r>
        <w:r w:rsidR="0047776A">
          <w:rPr>
            <w:webHidden/>
          </w:rPr>
          <w:fldChar w:fldCharType="end"/>
        </w:r>
      </w:hyperlink>
    </w:p>
    <w:p w14:paraId="6E31963A" w14:textId="299B3820" w:rsidR="002907B5" w:rsidRPr="002907B5" w:rsidRDefault="007D4221" w:rsidP="002907B5">
      <w:pPr>
        <w:pStyle w:val="Titre2"/>
      </w:pPr>
      <w:r>
        <w:fldChar w:fldCharType="end"/>
      </w:r>
      <w:bookmarkStart w:id="14" w:name="_Toc23239713"/>
      <w:bookmarkStart w:id="15" w:name="_Toc476056582"/>
      <w:bookmarkStart w:id="16" w:name="_Toc476056906"/>
      <w:bookmarkStart w:id="17" w:name="_Toc476057093"/>
      <w:bookmarkStart w:id="18" w:name="_Toc476057806"/>
      <w:bookmarkStart w:id="19" w:name="_Toc476833331"/>
      <w:bookmarkStart w:id="20" w:name="_Toc477871580"/>
      <w:bookmarkStart w:id="21" w:name="_Toc478113841"/>
      <w:bookmarkStart w:id="22" w:name="_Toc478479208"/>
      <w:bookmarkEnd w:id="5"/>
      <w:bookmarkEnd w:id="6"/>
      <w:bookmarkEnd w:id="7"/>
      <w:bookmarkEnd w:id="8"/>
      <w:bookmarkEnd w:id="9"/>
      <w:bookmarkEnd w:id="10"/>
      <w:bookmarkEnd w:id="11"/>
      <w:bookmarkEnd w:id="12"/>
      <w:bookmarkEnd w:id="13"/>
      <w:r w:rsidR="002907B5" w:rsidRPr="002907B5">
        <w:t>Contexte</w:t>
      </w:r>
      <w:bookmarkEnd w:id="14"/>
    </w:p>
    <w:p w14:paraId="4018E4BF" w14:textId="5C40DD9B" w:rsidR="002907B5" w:rsidRPr="002907B5" w:rsidRDefault="002907B5" w:rsidP="002907B5">
      <w:pPr>
        <w:pStyle w:val="textecourant"/>
      </w:pPr>
      <w:bookmarkStart w:id="23" w:name="_Toc477871583"/>
      <w:bookmarkStart w:id="24" w:name="_Toc478113843"/>
      <w:bookmarkEnd w:id="15"/>
      <w:bookmarkEnd w:id="16"/>
      <w:bookmarkEnd w:id="17"/>
      <w:bookmarkEnd w:id="18"/>
      <w:bookmarkEnd w:id="19"/>
      <w:bookmarkEnd w:id="20"/>
      <w:bookmarkEnd w:id="21"/>
      <w:bookmarkEnd w:id="22"/>
      <w:r w:rsidRPr="002907B5">
        <w:t>Le présent document de consultation contient des propositions de modifications à</w:t>
      </w:r>
      <w:r w:rsidR="00D92964">
        <w:t xml:space="preserve"> la</w:t>
      </w:r>
      <w:r w:rsidRPr="002907B5">
        <w:t xml:space="preserve"> Loi sur la protection du consommateur </w:t>
      </w:r>
      <w:r w:rsidR="00D21C56">
        <w:t xml:space="preserve">(LPC) </w:t>
      </w:r>
      <w:r w:rsidRPr="002907B5">
        <w:t xml:space="preserve">qui portent sur la durabilité et à la réparabilité des biens. Cette consultation s’intéresse à des enjeux à propos desquels une réflexion a été amorcée par plusieurs intervenants qui sont préoccupés par l’impact économique et environnemental que peut entrainer la consommation de biens. Les mesures faisant l’objet de la présente consultation s’intéressent notamment à la durée minimale de fonctionnement de certains biens, à la disponibilité des pièces de rechange et des services de réparation et à l’obsolescence planifiée. Elles s’inscrivent dans la foulée des réflexions et des travaux sur le sujet, tant au Québec qu’à travers le monde, comme le </w:t>
      </w:r>
      <w:hyperlink r:id="rId10" w:history="1">
        <w:r w:rsidRPr="00E34F42">
          <w:rPr>
            <w:rStyle w:val="Lienhypertexte"/>
          </w:rPr>
          <w:t>projet de loi n°</w:t>
        </w:r>
        <w:r w:rsidR="00E34F42" w:rsidRPr="00E34F42">
          <w:rPr>
            <w:rStyle w:val="Lienhypertexte"/>
          </w:rPr>
          <w:t> </w:t>
        </w:r>
        <w:r w:rsidRPr="00E34F42">
          <w:rPr>
            <w:rStyle w:val="Lienhypertexte"/>
          </w:rPr>
          <w:t>197</w:t>
        </w:r>
      </w:hyperlink>
      <w:r w:rsidRPr="002907B5">
        <w:t xml:space="preserve"> déposé à l’Assemblée nationale en avril dernier.</w:t>
      </w:r>
    </w:p>
    <w:p w14:paraId="160C5459" w14:textId="77777777" w:rsidR="002907B5" w:rsidRPr="002907B5" w:rsidRDefault="002907B5" w:rsidP="002907B5">
      <w:pPr>
        <w:pStyle w:val="textecourant"/>
      </w:pPr>
      <w:r w:rsidRPr="002907B5">
        <w:t>Cette consultation vise à récolter le plus d’éléments possible afin que l’Office de la protection du consommateur puisse formuler des recommandations à la ministre de la Justice en vue de la rédaction d’un projet de</w:t>
      </w:r>
      <w:bookmarkStart w:id="25" w:name="_GoBack"/>
      <w:bookmarkEnd w:id="25"/>
      <w:r w:rsidRPr="002907B5">
        <w:t xml:space="preserve"> loi.</w:t>
      </w:r>
    </w:p>
    <w:p w14:paraId="720C8F74" w14:textId="77777777" w:rsidR="002907B5" w:rsidRPr="002907B5" w:rsidRDefault="002907B5" w:rsidP="002907B5">
      <w:pPr>
        <w:pStyle w:val="textecourant"/>
      </w:pPr>
      <w:r w:rsidRPr="002907B5">
        <w:lastRenderedPageBreak/>
        <w:t>Pour chaque proposition, vous êtes invités à y inscrire vos commentaires. À la fin de chaque tableau, vous pouvez insérer des lignes supplémentaires afin d’y ajouter des commentaires supplémentaires ou de nouvelles propositions.</w:t>
      </w:r>
    </w:p>
    <w:p w14:paraId="1F7636B9" w14:textId="7F7D22A1" w:rsidR="007F3132" w:rsidRDefault="002907B5" w:rsidP="007F3132">
      <w:pPr>
        <w:pStyle w:val="textecourant"/>
      </w:pPr>
      <w:r w:rsidRPr="002907B5">
        <w:t>Nous apprécierions, pour faciliter le travail de compilation des commentaires, que vous nous retourniez vos commentaires dans le présent document en format Word plutôt qu’en format PDF.</w:t>
      </w:r>
    </w:p>
    <w:p w14:paraId="78DFD0FE" w14:textId="77777777" w:rsidR="002907B5" w:rsidRPr="002907B5" w:rsidRDefault="002907B5" w:rsidP="00AC649F">
      <w:pPr>
        <w:pStyle w:val="Titre2numrot"/>
        <w:spacing w:before="480"/>
      </w:pPr>
      <w:bookmarkStart w:id="26" w:name="_Toc23239714"/>
      <w:r w:rsidRPr="002907B5">
        <w:t>Durabilité des appareils domestiques</w:t>
      </w:r>
      <w:bookmarkEnd w:id="26"/>
    </w:p>
    <w:p w14:paraId="3D619D1B" w14:textId="77CC1522" w:rsidR="002907B5" w:rsidRPr="002907B5" w:rsidRDefault="007F3132" w:rsidP="00EB424C">
      <w:pPr>
        <w:pStyle w:val="Titre3"/>
        <w:rPr>
          <w:highlight w:val="yellow"/>
        </w:rPr>
      </w:pPr>
      <w:r w:rsidRPr="00EB424C">
        <w:t>P</w:t>
      </w:r>
      <w:r w:rsidR="00EB424C" w:rsidRPr="00EB424C">
        <w:t>roblé</w:t>
      </w:r>
      <w:r w:rsidR="00EB424C" w:rsidRPr="00AC37EF">
        <w:t>matique 1.1</w:t>
      </w:r>
    </w:p>
    <w:p w14:paraId="64D4DFF6" w14:textId="7867FA5F" w:rsidR="002907B5" w:rsidRPr="002907B5" w:rsidRDefault="002907B5" w:rsidP="00025A39">
      <w:pPr>
        <w:pStyle w:val="textecourant"/>
        <w:spacing w:after="240"/>
      </w:pPr>
      <w:r w:rsidRPr="002907B5">
        <w:t>Alors que la durée minimale de fonctionnement d’un bien est une information qui est susceptible d’avoir un impact important sur la décision du consommateur d’en faire l’acquisition, particulièrement dans les cas où le prix du bien est élevé, cette information lui est rarement fournie.</w:t>
      </w:r>
    </w:p>
    <w:tbl>
      <w:tblPr>
        <w:tblStyle w:val="TableauMODLE"/>
        <w:tblW w:w="0" w:type="auto"/>
        <w:tblLook w:val="0420" w:firstRow="1" w:lastRow="0" w:firstColumn="0" w:lastColumn="0" w:noHBand="0" w:noVBand="1"/>
      </w:tblPr>
      <w:tblGrid>
        <w:gridCol w:w="5130"/>
        <w:gridCol w:w="4590"/>
      </w:tblGrid>
      <w:tr w:rsidR="002907B5" w14:paraId="0523DA33" w14:textId="77777777" w:rsidTr="00234C94">
        <w:trPr>
          <w:cnfStyle w:val="100000000000" w:firstRow="1" w:lastRow="0" w:firstColumn="0" w:lastColumn="0" w:oddVBand="0" w:evenVBand="0" w:oddHBand="0" w:evenHBand="0" w:firstRowFirstColumn="0" w:firstRowLastColumn="0" w:lastRowFirstColumn="0" w:lastRowLastColumn="0"/>
          <w:tblHeader/>
        </w:trPr>
        <w:tc>
          <w:tcPr>
            <w:tcW w:w="5130" w:type="dxa"/>
          </w:tcPr>
          <w:p w14:paraId="6A57D51A" w14:textId="6325974B" w:rsidR="002907B5" w:rsidRDefault="002907B5" w:rsidP="00A86071">
            <w:pPr>
              <w:pStyle w:val="tableauen-tte"/>
            </w:pPr>
            <w:r>
              <w:t>Mesur</w:t>
            </w:r>
            <w:r w:rsidRPr="00EA5816">
              <w:t>es</w:t>
            </w:r>
            <w:r w:rsidR="00EB424C" w:rsidRPr="00EA5816">
              <w:t xml:space="preserve"> proposée</w:t>
            </w:r>
            <w:r w:rsidR="00EA5816" w:rsidRPr="00EA5816">
              <w:t>s</w:t>
            </w:r>
          </w:p>
        </w:tc>
        <w:tc>
          <w:tcPr>
            <w:tcW w:w="4590" w:type="dxa"/>
          </w:tcPr>
          <w:p w14:paraId="469745F9" w14:textId="683F0099" w:rsidR="002907B5" w:rsidRDefault="002907B5" w:rsidP="00A86071">
            <w:pPr>
              <w:pStyle w:val="tableauen-tte"/>
            </w:pPr>
            <w:r>
              <w:t>Commentaires</w:t>
            </w:r>
          </w:p>
        </w:tc>
      </w:tr>
      <w:tr w:rsidR="002907B5" w14:paraId="453C2EA4" w14:textId="77777777" w:rsidTr="00234C94">
        <w:trPr>
          <w:cnfStyle w:val="000000100000" w:firstRow="0" w:lastRow="0" w:firstColumn="0" w:lastColumn="0" w:oddVBand="0" w:evenVBand="0" w:oddHBand="1" w:evenHBand="0" w:firstRowFirstColumn="0" w:firstRowLastColumn="0" w:lastRowFirstColumn="0" w:lastRowLastColumn="0"/>
        </w:trPr>
        <w:tc>
          <w:tcPr>
            <w:tcW w:w="5130" w:type="dxa"/>
          </w:tcPr>
          <w:p w14:paraId="0F050FFF" w14:textId="77777777" w:rsidR="002907B5" w:rsidRPr="00EB424C" w:rsidRDefault="002907B5" w:rsidP="002907B5">
            <w:pPr>
              <w:pStyle w:val="tableautexte"/>
              <w:rPr>
                <w:b/>
                <w:bCs/>
              </w:rPr>
            </w:pPr>
            <w:r w:rsidRPr="00EB424C">
              <w:rPr>
                <w:b/>
                <w:bCs/>
              </w:rPr>
              <w:t xml:space="preserve">DURÉE MINIMALE DE FONCTIONNEMENT D’UN APPAREIL DOMESTIQUE </w:t>
            </w:r>
          </w:p>
          <w:p w14:paraId="50435804" w14:textId="724B8A26" w:rsidR="002907B5" w:rsidRPr="00EB424C" w:rsidRDefault="002907B5" w:rsidP="002907B5">
            <w:pPr>
              <w:pStyle w:val="tableautexte"/>
            </w:pPr>
            <w:r w:rsidRPr="00EB424C">
              <w:t>Prévoir des mesures visant à déterminer la durée minimale de fonctionnement des appareils domestiques visés par l’article</w:t>
            </w:r>
            <w:r w:rsidR="00E34F42">
              <w:t> </w:t>
            </w:r>
            <w:r w:rsidRPr="00EB424C">
              <w:t>182</w:t>
            </w:r>
            <w:r w:rsidR="00D21C56">
              <w:t xml:space="preserve"> de la</w:t>
            </w:r>
            <w:r w:rsidRPr="00EB424C">
              <w:t xml:space="preserve"> LPC, à en informer le consommateur et à prévoir les obligations des entreprises et les recours des consommateurs.</w:t>
            </w:r>
          </w:p>
          <w:p w14:paraId="42947C00" w14:textId="4764BE1F" w:rsidR="002907B5" w:rsidRPr="00362BBB" w:rsidRDefault="002907B5" w:rsidP="002907B5">
            <w:pPr>
              <w:pStyle w:val="tableautexte"/>
            </w:pPr>
            <w:r w:rsidRPr="00EB424C">
              <w:t>À noter que le libellé actuel de l’article</w:t>
            </w:r>
            <w:r w:rsidR="00E34F42">
              <w:t> </w:t>
            </w:r>
            <w:r w:rsidRPr="00EB424C">
              <w:t>182</w:t>
            </w:r>
            <w:r w:rsidR="00D21C56">
              <w:t xml:space="preserve"> de la</w:t>
            </w:r>
            <w:r w:rsidRPr="00EB424C">
              <w:t xml:space="preserve"> LPC permet de viser tout autre bien comme étant un appareil domestique par règlement.</w:t>
            </w:r>
          </w:p>
          <w:p w14:paraId="5565F114" w14:textId="13D19077" w:rsidR="002907B5" w:rsidRPr="007E4ACF" w:rsidRDefault="002907B5" w:rsidP="002907B5">
            <w:pPr>
              <w:pStyle w:val="tableautexte"/>
              <w:rPr>
                <w:b/>
                <w:bCs/>
              </w:rPr>
            </w:pPr>
            <w:r w:rsidRPr="007E4ACF">
              <w:rPr>
                <w:b/>
                <w:bCs/>
              </w:rPr>
              <w:t>Détermination par le fabricant de la durée minimale de fonctionnement</w:t>
            </w:r>
            <w:r w:rsidR="002614AB">
              <w:rPr>
                <w:b/>
                <w:bCs/>
              </w:rPr>
              <w:t> </w:t>
            </w:r>
            <w:r w:rsidRPr="007E4ACF">
              <w:rPr>
                <w:b/>
                <w:bCs/>
              </w:rPr>
              <w:t>:</w:t>
            </w:r>
          </w:p>
          <w:p w14:paraId="6E85EA86" w14:textId="7EDE96C8" w:rsidR="002907B5" w:rsidRDefault="002907B5" w:rsidP="00361986">
            <w:pPr>
              <w:pStyle w:val="tableaupuce2"/>
              <w:ind w:left="491" w:hanging="261"/>
            </w:pPr>
            <w:r>
              <w:t>Obligation du fabricant de déterminer la durée minimale de fonctionnement d’un bien qui constitue un appareil domestique au sens de l’article</w:t>
            </w:r>
            <w:r w:rsidR="00E34F42">
              <w:t> </w:t>
            </w:r>
            <w:r>
              <w:t>182</w:t>
            </w:r>
            <w:r w:rsidR="00D21C56">
              <w:t xml:space="preserve"> de la</w:t>
            </w:r>
            <w:r>
              <w:t xml:space="preserve"> LPC (ex</w:t>
            </w:r>
            <w:r w:rsidR="00D67254">
              <w:t>.</w:t>
            </w:r>
            <w:r w:rsidR="002614AB">
              <w:t> </w:t>
            </w:r>
            <w:r>
              <w:t>: une cuisinière, un réfrigérateur, un lave-vaisselle, un ordinateur, une thermopompe, etc.).</w:t>
            </w:r>
          </w:p>
        </w:tc>
        <w:tc>
          <w:tcPr>
            <w:tcW w:w="4590" w:type="dxa"/>
          </w:tcPr>
          <w:p w14:paraId="22830D12" w14:textId="6930C948" w:rsidR="002907B5" w:rsidRDefault="002907B5" w:rsidP="002907B5">
            <w:pPr>
              <w:pStyle w:val="tableautexte"/>
            </w:pPr>
          </w:p>
        </w:tc>
      </w:tr>
      <w:tr w:rsidR="002907B5" w14:paraId="0D039016" w14:textId="77777777" w:rsidTr="00234C94">
        <w:trPr>
          <w:cnfStyle w:val="000000010000" w:firstRow="0" w:lastRow="0" w:firstColumn="0" w:lastColumn="0" w:oddVBand="0" w:evenVBand="0" w:oddHBand="0" w:evenHBand="1" w:firstRowFirstColumn="0" w:firstRowLastColumn="0" w:lastRowFirstColumn="0" w:lastRowLastColumn="0"/>
        </w:trPr>
        <w:tc>
          <w:tcPr>
            <w:tcW w:w="5130" w:type="dxa"/>
          </w:tcPr>
          <w:p w14:paraId="089CA594" w14:textId="3D3C1465" w:rsidR="002907B5" w:rsidRPr="007E4ACF" w:rsidRDefault="002907B5" w:rsidP="002907B5">
            <w:pPr>
              <w:pStyle w:val="tableautexte"/>
              <w:rPr>
                <w:b/>
                <w:bCs/>
              </w:rPr>
            </w:pPr>
            <w:r w:rsidRPr="007E4ACF">
              <w:rPr>
                <w:b/>
                <w:bCs/>
              </w:rPr>
              <w:t xml:space="preserve">Fabricant </w:t>
            </w:r>
            <w:r w:rsidR="0049545E" w:rsidRPr="00195BA6">
              <w:rPr>
                <w:b/>
                <w:bCs/>
              </w:rPr>
              <w:t>–</w:t>
            </w:r>
            <w:r w:rsidRPr="007E4ACF">
              <w:rPr>
                <w:b/>
                <w:bCs/>
              </w:rPr>
              <w:t xml:space="preserve"> Obligation d’information : </w:t>
            </w:r>
          </w:p>
          <w:p w14:paraId="2FA7FFB7" w14:textId="77777777" w:rsidR="00AC649F" w:rsidRDefault="002907B5" w:rsidP="002907B5">
            <w:pPr>
              <w:pStyle w:val="tableaupuce2"/>
              <w:ind w:left="491" w:hanging="261"/>
            </w:pPr>
            <w:r>
              <w:t>Obligation du fabricant de publier l’information relative à cette durée minimale sur son site web, ou par tout autre moyen prévu par règlement, de façon à ce que le consommateur puisse y avoir accès en tout temps.</w:t>
            </w:r>
          </w:p>
          <w:p w14:paraId="30D63374" w14:textId="709C1A40" w:rsidR="002907B5" w:rsidRDefault="002907B5" w:rsidP="002907B5">
            <w:pPr>
              <w:pStyle w:val="tableaupuce2"/>
              <w:ind w:left="491" w:hanging="261"/>
            </w:pPr>
            <w:r>
              <w:t>Obligation du fabricant d’indiquer cette durée minimale sur le bien de la manière prescrite par règlement.</w:t>
            </w:r>
          </w:p>
        </w:tc>
        <w:tc>
          <w:tcPr>
            <w:tcW w:w="4590" w:type="dxa"/>
          </w:tcPr>
          <w:p w14:paraId="2480B5DF" w14:textId="22E8B396" w:rsidR="002907B5" w:rsidRDefault="002907B5" w:rsidP="002907B5">
            <w:pPr>
              <w:pStyle w:val="tableautexte"/>
            </w:pPr>
          </w:p>
        </w:tc>
      </w:tr>
      <w:tr w:rsidR="002907B5" w14:paraId="0EA24823" w14:textId="77777777" w:rsidTr="00234C94">
        <w:trPr>
          <w:cnfStyle w:val="000000100000" w:firstRow="0" w:lastRow="0" w:firstColumn="0" w:lastColumn="0" w:oddVBand="0" w:evenVBand="0" w:oddHBand="1" w:evenHBand="0" w:firstRowFirstColumn="0" w:firstRowLastColumn="0" w:lastRowFirstColumn="0" w:lastRowLastColumn="0"/>
        </w:trPr>
        <w:tc>
          <w:tcPr>
            <w:tcW w:w="5130" w:type="dxa"/>
          </w:tcPr>
          <w:p w14:paraId="72E46FDB" w14:textId="1F4ACA4E" w:rsidR="002907B5" w:rsidRPr="007E4ACF" w:rsidRDefault="002907B5" w:rsidP="007F3132">
            <w:pPr>
              <w:pStyle w:val="tableautexte"/>
              <w:keepNext/>
              <w:rPr>
                <w:b/>
                <w:bCs/>
              </w:rPr>
            </w:pPr>
            <w:r w:rsidRPr="007E4ACF">
              <w:rPr>
                <w:b/>
                <w:bCs/>
              </w:rPr>
              <w:lastRenderedPageBreak/>
              <w:t xml:space="preserve">Commerçant </w:t>
            </w:r>
            <w:r w:rsidR="00FB0B32" w:rsidRPr="00195BA6">
              <w:rPr>
                <w:b/>
                <w:bCs/>
              </w:rPr>
              <w:t>–</w:t>
            </w:r>
            <w:r w:rsidRPr="007E4ACF">
              <w:rPr>
                <w:b/>
                <w:bCs/>
              </w:rPr>
              <w:t xml:space="preserve"> Obligation d’information : </w:t>
            </w:r>
          </w:p>
          <w:p w14:paraId="218BB70A" w14:textId="209276D4" w:rsidR="00AC649F" w:rsidRDefault="002907B5" w:rsidP="007F3132">
            <w:pPr>
              <w:pStyle w:val="tableaupuce2"/>
              <w:keepNext/>
              <w:ind w:left="491" w:hanging="261"/>
            </w:pPr>
            <w:r>
              <w:t>Obligation du commerçant de porter à la connaissance du consommateur l’information relative à la durée minimale en indiquant cette information à proximité du prix et de façon aussi évidente que celui-ci.</w:t>
            </w:r>
          </w:p>
          <w:p w14:paraId="40A41C25" w14:textId="5B09C9B3" w:rsidR="002907B5" w:rsidRDefault="002907B5" w:rsidP="00AC649F">
            <w:pPr>
              <w:pStyle w:val="tableaupuce2"/>
              <w:keepNext/>
              <w:numPr>
                <w:ilvl w:val="0"/>
                <w:numId w:val="0"/>
              </w:numPr>
              <w:ind w:left="491"/>
            </w:pPr>
            <w:r>
              <w:t>Des modalités supplémentaires applicables à la présentation de cette information pourraient aussi être prévues au règlement d’application.</w:t>
            </w:r>
          </w:p>
          <w:p w14:paraId="5CBB4F2B" w14:textId="3C4B6999" w:rsidR="002907B5" w:rsidRDefault="002907B5" w:rsidP="00AC649F">
            <w:pPr>
              <w:pStyle w:val="tableaupuce2"/>
              <w:keepNext/>
              <w:ind w:left="491" w:hanging="261"/>
            </w:pPr>
            <w:r>
              <w:t>Dans le cas où le contrat est conclu à distance (ex</w:t>
            </w:r>
            <w:r w:rsidR="002614AB">
              <w:t>. </w:t>
            </w:r>
            <w:r>
              <w:t>: par Internet) ou avec un commerçant itinérant, le non-respect de cette obligation d’information devrait aussi donner ouverture à l’exercice du droit de résolution déjà prévu pour ces contrats aux articles</w:t>
            </w:r>
            <w:r w:rsidR="00E34F42">
              <w:t> </w:t>
            </w:r>
            <w:r>
              <w:t>54.8 et 58 al.</w:t>
            </w:r>
            <w:r w:rsidR="00E34F42">
              <w:t> </w:t>
            </w:r>
            <w:r>
              <w:t>2 de la LPC.</w:t>
            </w:r>
          </w:p>
        </w:tc>
        <w:tc>
          <w:tcPr>
            <w:tcW w:w="4590" w:type="dxa"/>
          </w:tcPr>
          <w:p w14:paraId="18D900C9" w14:textId="78B4CF8D" w:rsidR="002907B5" w:rsidRDefault="002907B5" w:rsidP="002907B5">
            <w:pPr>
              <w:pStyle w:val="tableautexte"/>
            </w:pPr>
          </w:p>
        </w:tc>
      </w:tr>
      <w:tr w:rsidR="002907B5" w14:paraId="0A951D90" w14:textId="77777777" w:rsidTr="00234C94">
        <w:trPr>
          <w:cnfStyle w:val="000000010000" w:firstRow="0" w:lastRow="0" w:firstColumn="0" w:lastColumn="0" w:oddVBand="0" w:evenVBand="0" w:oddHBand="0" w:evenHBand="1" w:firstRowFirstColumn="0" w:firstRowLastColumn="0" w:lastRowFirstColumn="0" w:lastRowLastColumn="0"/>
        </w:trPr>
        <w:tc>
          <w:tcPr>
            <w:tcW w:w="5130" w:type="dxa"/>
          </w:tcPr>
          <w:p w14:paraId="38C5C748" w14:textId="77777777" w:rsidR="002907B5" w:rsidRPr="00362BBB" w:rsidRDefault="002907B5" w:rsidP="002907B5">
            <w:pPr>
              <w:pStyle w:val="tableautexte"/>
              <w:rPr>
                <w:b/>
                <w:bCs/>
              </w:rPr>
            </w:pPr>
            <w:r w:rsidRPr="00362BBB">
              <w:rPr>
                <w:b/>
                <w:bCs/>
              </w:rPr>
              <w:t>Pratique interdite :</w:t>
            </w:r>
          </w:p>
          <w:p w14:paraId="02B61A32" w14:textId="1F4FD4B4" w:rsidR="002907B5" w:rsidRDefault="002907B5" w:rsidP="002907B5">
            <w:pPr>
              <w:pStyle w:val="tableautexte"/>
            </w:pPr>
            <w:r w:rsidRPr="00362BBB">
              <w:t>Ajout</w:t>
            </w:r>
            <w:r w:rsidR="00DD4A15">
              <w:t>er</w:t>
            </w:r>
            <w:r w:rsidRPr="00362BBB">
              <w:t xml:space="preserve"> au titre II de la LPC, qui interdit plusieurs pratiques de commerce, une interdiction de ne pas indiquer sur l</w:t>
            </w:r>
            <w:r w:rsidR="00DD4A15">
              <w:t>’appareil domestique</w:t>
            </w:r>
            <w:r w:rsidRPr="00362BBB">
              <w:t xml:space="preserve"> </w:t>
            </w:r>
            <w:r w:rsidR="009C4A11">
              <w:t>s</w:t>
            </w:r>
            <w:r w:rsidRPr="00362BBB">
              <w:t>a durée minimale de fonctionnement de la manière prescrite par règlement.</w:t>
            </w:r>
          </w:p>
        </w:tc>
        <w:tc>
          <w:tcPr>
            <w:tcW w:w="4590" w:type="dxa"/>
          </w:tcPr>
          <w:p w14:paraId="1F179B7A" w14:textId="0194C7D4" w:rsidR="002907B5" w:rsidRDefault="002907B5" w:rsidP="002907B5">
            <w:pPr>
              <w:pStyle w:val="tableaupied"/>
            </w:pPr>
          </w:p>
        </w:tc>
      </w:tr>
      <w:tr w:rsidR="007F3132" w14:paraId="6884B14A" w14:textId="77777777" w:rsidTr="00234C94">
        <w:trPr>
          <w:cnfStyle w:val="000000100000" w:firstRow="0" w:lastRow="0" w:firstColumn="0" w:lastColumn="0" w:oddVBand="0" w:evenVBand="0" w:oddHBand="1" w:evenHBand="0" w:firstRowFirstColumn="0" w:firstRowLastColumn="0" w:lastRowFirstColumn="0" w:lastRowLastColumn="0"/>
        </w:trPr>
        <w:tc>
          <w:tcPr>
            <w:tcW w:w="5130" w:type="dxa"/>
          </w:tcPr>
          <w:p w14:paraId="26513911" w14:textId="77777777" w:rsidR="007F3132" w:rsidRDefault="007F3132" w:rsidP="007F3132">
            <w:pPr>
              <w:pStyle w:val="tableautexte"/>
              <w:keepNext/>
              <w:rPr>
                <w:b/>
                <w:bCs/>
              </w:rPr>
            </w:pPr>
            <w:r w:rsidRPr="00362BBB">
              <w:rPr>
                <w:b/>
                <w:bCs/>
              </w:rPr>
              <w:t>Définition :</w:t>
            </w:r>
          </w:p>
          <w:p w14:paraId="7DA522A1" w14:textId="1506FAF3" w:rsidR="007F3132" w:rsidRPr="00362BBB" w:rsidRDefault="007F3132" w:rsidP="007F3132">
            <w:pPr>
              <w:pStyle w:val="tableautexte"/>
              <w:rPr>
                <w:b/>
                <w:bCs/>
              </w:rPr>
            </w:pPr>
            <w:r w:rsidRPr="00362BBB">
              <w:t>La LPC pourrait définir la durée minimale de fonctionnement d’un bien comme étant la durée minimale durant laquelle le consommateur peut en faire un usage normal.</w:t>
            </w:r>
          </w:p>
        </w:tc>
        <w:tc>
          <w:tcPr>
            <w:tcW w:w="4590" w:type="dxa"/>
          </w:tcPr>
          <w:p w14:paraId="432E767F" w14:textId="77777777" w:rsidR="007F3132" w:rsidRDefault="007F3132" w:rsidP="007F3132">
            <w:pPr>
              <w:pStyle w:val="tableaupied"/>
            </w:pPr>
          </w:p>
        </w:tc>
      </w:tr>
    </w:tbl>
    <w:bookmarkEnd w:id="23"/>
    <w:bookmarkEnd w:id="24"/>
    <w:p w14:paraId="6C158D0D" w14:textId="38F48C3B" w:rsidR="00EB424C" w:rsidRDefault="00EB424C" w:rsidP="00EB424C">
      <w:pPr>
        <w:pStyle w:val="Titre3"/>
      </w:pPr>
      <w:r>
        <w:t xml:space="preserve">Problématique 1.2 </w:t>
      </w:r>
    </w:p>
    <w:p w14:paraId="125D6A0E" w14:textId="069F2AFA" w:rsidR="00EB424C" w:rsidRPr="00EB424C" w:rsidRDefault="00EB424C" w:rsidP="00EB424C">
      <w:pPr>
        <w:pStyle w:val="textecourant"/>
      </w:pPr>
      <w:r w:rsidRPr="00EB424C">
        <w:t>L’article</w:t>
      </w:r>
      <w:r w:rsidR="00E34F42">
        <w:t> </w:t>
      </w:r>
      <w:r w:rsidRPr="00EB424C">
        <w:t>38 de la LPC prévoit qu’un bien qui fait l’objet d’un contrat doit être tel qu’il puisse servir à un usage normal pendant une durée raisonnable, eu égard à son prix, aux dispositions du contrat et aux conditions d’utilisation du bien.</w:t>
      </w:r>
    </w:p>
    <w:p w14:paraId="79461CC8" w14:textId="7EE322F4" w:rsidR="00EB424C" w:rsidRDefault="00EB424C" w:rsidP="00025A39">
      <w:pPr>
        <w:pStyle w:val="textecourant"/>
        <w:spacing w:after="240"/>
      </w:pPr>
      <w:r w:rsidRPr="00EB424C">
        <w:t>La durée raisonnable de l’article</w:t>
      </w:r>
      <w:r w:rsidR="00E34F42">
        <w:t> </w:t>
      </w:r>
      <w:r w:rsidRPr="00EB424C">
        <w:t>38 ne correspond pas à une durée précise. Elle varie en fonction des éléments énoncés à cet article.</w:t>
      </w:r>
    </w:p>
    <w:tbl>
      <w:tblPr>
        <w:tblStyle w:val="TableauMODLE"/>
        <w:tblW w:w="0" w:type="auto"/>
        <w:tblLook w:val="0420" w:firstRow="1" w:lastRow="0" w:firstColumn="0" w:lastColumn="0" w:noHBand="0" w:noVBand="1"/>
      </w:tblPr>
      <w:tblGrid>
        <w:gridCol w:w="5130"/>
        <w:gridCol w:w="4590"/>
      </w:tblGrid>
      <w:tr w:rsidR="00EB424C" w14:paraId="0B6BB4B9"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59F18D18" w14:textId="13928C2F" w:rsidR="00EB424C" w:rsidRDefault="00EB424C" w:rsidP="00A86071">
            <w:pPr>
              <w:pStyle w:val="tableauen-tte"/>
            </w:pPr>
            <w:r>
              <w:lastRenderedPageBreak/>
              <w:t>Mes</w:t>
            </w:r>
            <w:r w:rsidRPr="00EA5816">
              <w:t>ures proposée</w:t>
            </w:r>
            <w:r w:rsidR="00EA5816" w:rsidRPr="00EA5816">
              <w:t>s</w:t>
            </w:r>
          </w:p>
        </w:tc>
        <w:tc>
          <w:tcPr>
            <w:tcW w:w="4590" w:type="dxa"/>
          </w:tcPr>
          <w:p w14:paraId="22BEC3D6" w14:textId="77777777" w:rsidR="00EB424C" w:rsidRDefault="00EB424C" w:rsidP="00A86071">
            <w:pPr>
              <w:pStyle w:val="tableauen-tte"/>
            </w:pPr>
            <w:r>
              <w:t>Commentaires</w:t>
            </w:r>
          </w:p>
        </w:tc>
      </w:tr>
      <w:tr w:rsidR="00EB424C" w:rsidRPr="00EB424C" w14:paraId="73FF27DA"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470E53D2" w14:textId="15337B98" w:rsidR="00EB424C" w:rsidRPr="00EB424C" w:rsidRDefault="00EB424C" w:rsidP="00EA5816">
            <w:pPr>
              <w:pStyle w:val="tableautexte"/>
              <w:keepNext/>
              <w:ind w:right="58"/>
              <w:rPr>
                <w:b/>
                <w:bCs/>
              </w:rPr>
            </w:pPr>
            <w:r w:rsidRPr="00EB424C">
              <w:rPr>
                <w:b/>
                <w:bCs/>
              </w:rPr>
              <w:t>GARANTIE DE DURÉE RAISONNABLE</w:t>
            </w:r>
          </w:p>
          <w:p w14:paraId="53D073A3" w14:textId="77777777" w:rsidR="00EB424C" w:rsidRPr="00EB424C" w:rsidRDefault="00EB424C" w:rsidP="00EA5816">
            <w:pPr>
              <w:pStyle w:val="tableautexte"/>
              <w:keepNext/>
              <w:ind w:right="58"/>
              <w:rPr>
                <w:b/>
                <w:bCs/>
              </w:rPr>
            </w:pPr>
            <w:r w:rsidRPr="00EB424C">
              <w:rPr>
                <w:b/>
                <w:bCs/>
              </w:rPr>
              <w:t>Présomption :</w:t>
            </w:r>
          </w:p>
          <w:p w14:paraId="57642B41" w14:textId="0EBEACFA" w:rsidR="00EB424C" w:rsidRPr="00EB424C" w:rsidRDefault="00EB424C" w:rsidP="00EA5816">
            <w:pPr>
              <w:pStyle w:val="tableautexte"/>
              <w:keepNext/>
              <w:ind w:right="58"/>
            </w:pPr>
            <w:r w:rsidRPr="00EB424C">
              <w:t>Il pourrait être prévu que si le consommateur ne peut faire un usage normal d’un appareil domestique, alors que la durée minimale de fonctionnement déterminée par le fabricant n’est pas entièrement écoulée, l’appareil domestique est présumé ne pas avoir servi à un usage normal pendant une durée raisonnable au sens de l’article</w:t>
            </w:r>
            <w:r w:rsidR="00E34F42">
              <w:t> </w:t>
            </w:r>
            <w:r w:rsidRPr="00EB424C">
              <w:t>38 de la LPC.</w:t>
            </w:r>
          </w:p>
        </w:tc>
        <w:tc>
          <w:tcPr>
            <w:tcW w:w="4590" w:type="dxa"/>
          </w:tcPr>
          <w:p w14:paraId="38DC3C39" w14:textId="77777777" w:rsidR="00EB424C" w:rsidRPr="00EB424C" w:rsidRDefault="00EB424C" w:rsidP="00A86071">
            <w:pPr>
              <w:pStyle w:val="tableautexte"/>
            </w:pPr>
          </w:p>
        </w:tc>
      </w:tr>
    </w:tbl>
    <w:p w14:paraId="7428B0B3" w14:textId="77777777" w:rsidR="00EB424C" w:rsidRDefault="00EB424C" w:rsidP="00EA5816">
      <w:pPr>
        <w:pStyle w:val="Titre2numrot"/>
        <w:spacing w:before="480"/>
      </w:pPr>
      <w:bookmarkStart w:id="27" w:name="_Toc23173512"/>
      <w:bookmarkStart w:id="28" w:name="_Toc23239715"/>
      <w:r w:rsidRPr="00362BBB">
        <w:t>Réparabilité des biens</w:t>
      </w:r>
      <w:bookmarkEnd w:id="27"/>
      <w:bookmarkEnd w:id="28"/>
    </w:p>
    <w:p w14:paraId="658EC932" w14:textId="0CFBFFF4" w:rsidR="00EB424C" w:rsidRDefault="00EB424C" w:rsidP="00EB424C">
      <w:pPr>
        <w:pStyle w:val="Titre3"/>
      </w:pPr>
      <w:r>
        <w:t>Problématique 2.1</w:t>
      </w:r>
    </w:p>
    <w:p w14:paraId="372FF1C5" w14:textId="2F44E433" w:rsidR="00EB424C" w:rsidRDefault="00EB424C" w:rsidP="00EB424C">
      <w:pPr>
        <w:pStyle w:val="textecourant"/>
      </w:pPr>
      <w:r>
        <w:t>Le premier alinéa de l’article</w:t>
      </w:r>
      <w:r w:rsidR="003A184D">
        <w:t> </w:t>
      </w:r>
      <w:r>
        <w:t xml:space="preserve">39 </w:t>
      </w:r>
      <w:r w:rsidR="00D21C56">
        <w:t xml:space="preserve">de la </w:t>
      </w:r>
      <w:r>
        <w:t>LPC prévoit que si un bien qui fait l’objet d’un contrat est de nature à nécessiter un travail d’entretien, les pièces de rechange et les services de réparation doivent être disponibles pendant une durée raisonnable après la formation du contrat.</w:t>
      </w:r>
    </w:p>
    <w:p w14:paraId="38B02E6B" w14:textId="455AF4A6" w:rsidR="00EB424C" w:rsidRDefault="00EB424C" w:rsidP="00025A39">
      <w:pPr>
        <w:pStyle w:val="textecourant"/>
        <w:spacing w:after="240"/>
      </w:pPr>
      <w:r>
        <w:t>Cette obligation relative à la disponibilité des pièces et des services de réparation se limite au bien qui est de nature à nécessiter un travail d’entretien. De plus, cette obligation ne prévoit pas expressément que les pièces de rechange et les services de réparation doivent être disponibles à un prix raisonnable. Enfin, elle ne prévoit pas que le manuel de réparation et les outils nécessaires à la réparation, lorsqu’ils existent, doivent aussi être disponibles.</w:t>
      </w:r>
    </w:p>
    <w:tbl>
      <w:tblPr>
        <w:tblStyle w:val="TableauMODLE"/>
        <w:tblW w:w="0" w:type="auto"/>
        <w:tblLook w:val="0420" w:firstRow="1" w:lastRow="0" w:firstColumn="0" w:lastColumn="0" w:noHBand="0" w:noVBand="1"/>
      </w:tblPr>
      <w:tblGrid>
        <w:gridCol w:w="5130"/>
        <w:gridCol w:w="4590"/>
      </w:tblGrid>
      <w:tr w:rsidR="00EB424C" w14:paraId="33D97940"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736D363A" w14:textId="637D90B7" w:rsidR="00EB424C" w:rsidRDefault="00EB424C" w:rsidP="00A86071">
            <w:pPr>
              <w:pStyle w:val="tableauen-tte"/>
            </w:pPr>
            <w:r>
              <w:t>Mesu</w:t>
            </w:r>
            <w:r w:rsidRPr="00EA5816">
              <w:t>res proposée</w:t>
            </w:r>
            <w:r w:rsidR="00EA5816" w:rsidRPr="00EA5816">
              <w:t>s</w:t>
            </w:r>
          </w:p>
        </w:tc>
        <w:tc>
          <w:tcPr>
            <w:tcW w:w="4590" w:type="dxa"/>
          </w:tcPr>
          <w:p w14:paraId="3FC641DC" w14:textId="77777777" w:rsidR="00EB424C" w:rsidRDefault="00EB424C" w:rsidP="00A86071">
            <w:pPr>
              <w:pStyle w:val="tableauen-tte"/>
            </w:pPr>
            <w:r>
              <w:t>Commentaires</w:t>
            </w:r>
          </w:p>
        </w:tc>
      </w:tr>
      <w:tr w:rsidR="00EB424C" w:rsidRPr="00EB424C" w14:paraId="24B83EC9"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4F85A0D4" w14:textId="6BAC9D4F" w:rsidR="00EB424C" w:rsidRPr="00EB424C" w:rsidRDefault="00EB424C" w:rsidP="00EB424C">
            <w:pPr>
              <w:pStyle w:val="tableautexte"/>
              <w:rPr>
                <w:b/>
                <w:bCs/>
              </w:rPr>
            </w:pPr>
            <w:r w:rsidRPr="00EB424C">
              <w:rPr>
                <w:b/>
                <w:bCs/>
              </w:rPr>
              <w:t>GARANTIE DE DISPONIBILITÉ DES PIÈCES ET SERVICES DE RÉPARATION </w:t>
            </w:r>
          </w:p>
          <w:p w14:paraId="65F86377" w14:textId="4B97F3DC" w:rsidR="00EB424C" w:rsidRPr="00EB424C" w:rsidRDefault="0018049A" w:rsidP="00EB424C">
            <w:pPr>
              <w:pStyle w:val="tableautexte"/>
            </w:pPr>
            <w:r>
              <w:t>Élargir la garantie de disponibilité des pièces et services de réparation notamment afin qu’elle vise plus de biens.</w:t>
            </w:r>
          </w:p>
          <w:p w14:paraId="050CCACA" w14:textId="77777777" w:rsidR="00EB424C" w:rsidRPr="00EB424C" w:rsidRDefault="00EB424C" w:rsidP="00EB424C">
            <w:pPr>
              <w:pStyle w:val="tableautexte"/>
              <w:rPr>
                <w:b/>
                <w:bCs/>
              </w:rPr>
            </w:pPr>
            <w:r w:rsidRPr="00EB424C">
              <w:rPr>
                <w:b/>
                <w:bCs/>
              </w:rPr>
              <w:t>Champ d’application de la garantie de disponibilité :</w:t>
            </w:r>
          </w:p>
          <w:p w14:paraId="123DF88F" w14:textId="56CC52D7" w:rsidR="00EB424C" w:rsidRPr="00EB424C" w:rsidRDefault="00EB424C" w:rsidP="00EB424C">
            <w:pPr>
              <w:pStyle w:val="tableautexte"/>
            </w:pPr>
            <w:r w:rsidRPr="00EB424C">
              <w:t>La garantie de disponibilité des pièces de rechange et des services de réparation pour une durée raisonnable pourrait être élargie au bien qui ne nécessite pas un travail d’entretien dans la mesure où le prix d’un tel bien n’est pas inférieur à un certain montant qui serait déterminé au règlement. Elle pourrait aussi prévoir que doivent être disponibles sur le marché pour la même durée, lorsqu’ils existent, le manuel de réparation et les outils nécessaires à la réparation.</w:t>
            </w:r>
          </w:p>
        </w:tc>
        <w:tc>
          <w:tcPr>
            <w:tcW w:w="4590" w:type="dxa"/>
          </w:tcPr>
          <w:p w14:paraId="6E754A82" w14:textId="77777777" w:rsidR="00EB424C" w:rsidRPr="00EB424C" w:rsidRDefault="00EB424C" w:rsidP="00A86071">
            <w:pPr>
              <w:pStyle w:val="tableautexte"/>
            </w:pPr>
          </w:p>
        </w:tc>
      </w:tr>
      <w:tr w:rsidR="00EB424C" w:rsidRPr="00EB424C" w14:paraId="21D1A8DF" w14:textId="77777777" w:rsidTr="00A86071">
        <w:trPr>
          <w:cnfStyle w:val="000000010000" w:firstRow="0" w:lastRow="0" w:firstColumn="0" w:lastColumn="0" w:oddVBand="0" w:evenVBand="0" w:oddHBand="0" w:evenHBand="1" w:firstRowFirstColumn="0" w:firstRowLastColumn="0" w:lastRowFirstColumn="0" w:lastRowLastColumn="0"/>
        </w:trPr>
        <w:tc>
          <w:tcPr>
            <w:tcW w:w="5130" w:type="dxa"/>
          </w:tcPr>
          <w:p w14:paraId="3FEC7153" w14:textId="77777777" w:rsidR="00EB424C" w:rsidRPr="00EB424C" w:rsidRDefault="00EB424C" w:rsidP="00EA5816">
            <w:pPr>
              <w:pStyle w:val="tableautexte"/>
              <w:keepNext/>
              <w:ind w:right="58"/>
              <w:rPr>
                <w:b/>
                <w:bCs/>
              </w:rPr>
            </w:pPr>
            <w:r w:rsidRPr="00EB424C">
              <w:rPr>
                <w:b/>
                <w:bCs/>
              </w:rPr>
              <w:lastRenderedPageBreak/>
              <w:t xml:space="preserve">Prix raisonnable : </w:t>
            </w:r>
          </w:p>
          <w:p w14:paraId="032E862C" w14:textId="6CC4647A" w:rsidR="00EB424C" w:rsidRPr="00EB424C" w:rsidRDefault="00EB424C" w:rsidP="00EA5816">
            <w:pPr>
              <w:pStyle w:val="tableautexte"/>
              <w:keepNext/>
              <w:ind w:right="58"/>
              <w:rPr>
                <w:b/>
                <w:bCs/>
              </w:rPr>
            </w:pPr>
            <w:r w:rsidRPr="00EB424C">
              <w:t>Préciser que les pièces de rechange, les services de réparation et les outils nécessaires à la réparation doivent être disponibles à un prix raisonnable.</w:t>
            </w:r>
          </w:p>
        </w:tc>
        <w:tc>
          <w:tcPr>
            <w:tcW w:w="4590" w:type="dxa"/>
          </w:tcPr>
          <w:p w14:paraId="2ADE00CE" w14:textId="77777777" w:rsidR="00EB424C" w:rsidRPr="00EB424C" w:rsidRDefault="00EB424C" w:rsidP="00A86071">
            <w:pPr>
              <w:pStyle w:val="tableautexte"/>
            </w:pPr>
          </w:p>
        </w:tc>
      </w:tr>
    </w:tbl>
    <w:p w14:paraId="17D4F28B" w14:textId="62969CD9" w:rsidR="00025A39" w:rsidRDefault="00025A39" w:rsidP="00025A39">
      <w:pPr>
        <w:pStyle w:val="Titre3"/>
      </w:pPr>
      <w:r>
        <w:t>Problématique 2.2</w:t>
      </w:r>
    </w:p>
    <w:p w14:paraId="5F7B3943" w14:textId="61A51444" w:rsidR="00025A39" w:rsidRPr="00025A39" w:rsidRDefault="00025A39" w:rsidP="00025A39">
      <w:pPr>
        <w:pStyle w:val="textecourant"/>
        <w:spacing w:after="240"/>
      </w:pPr>
      <w:r>
        <w:rPr>
          <w:rFonts w:cs="Arial"/>
        </w:rPr>
        <w:t>Le premier alinéa de l’article</w:t>
      </w:r>
      <w:r w:rsidR="00E34F42">
        <w:rPr>
          <w:rFonts w:cs="Arial"/>
        </w:rPr>
        <w:t> </w:t>
      </w:r>
      <w:r>
        <w:rPr>
          <w:rFonts w:cs="Arial"/>
        </w:rPr>
        <w:t xml:space="preserve">39 </w:t>
      </w:r>
      <w:r w:rsidR="00D21C56">
        <w:rPr>
          <w:rFonts w:cs="Arial"/>
        </w:rPr>
        <w:t xml:space="preserve">de la </w:t>
      </w:r>
      <w:r>
        <w:rPr>
          <w:rFonts w:cs="Arial"/>
        </w:rPr>
        <w:t>LPC n’exige pas du fabricant et du commerçant d’informer le consommateur, avant qu’il acquière un bien, de la disponibilité des pièces de rechange et des services de réparation et de la période durant laquelle ces pièces et services seront disponibles. Le deuxième alinéa, quant à lui, prévoit que le commerçant ou le fabricant peut se dégager de l’obligation prévue au premier alinéa en avertissant le consommateur par écrit, avant la formation du contrat, qu’il ne fournit pas de pièce de rechange ou de service de réparation.</w:t>
      </w:r>
    </w:p>
    <w:tbl>
      <w:tblPr>
        <w:tblStyle w:val="TableauMODLE"/>
        <w:tblW w:w="0" w:type="auto"/>
        <w:tblLook w:val="0420" w:firstRow="1" w:lastRow="0" w:firstColumn="0" w:lastColumn="0" w:noHBand="0" w:noVBand="1"/>
      </w:tblPr>
      <w:tblGrid>
        <w:gridCol w:w="5130"/>
        <w:gridCol w:w="4590"/>
      </w:tblGrid>
      <w:tr w:rsidR="00025A39" w14:paraId="0D2F9E26"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583F8793" w14:textId="49137DD6" w:rsidR="00025A39" w:rsidRDefault="00025A39" w:rsidP="00A86071">
            <w:pPr>
              <w:pStyle w:val="tableauen-tte"/>
            </w:pPr>
            <w:r>
              <w:t>Mesure</w:t>
            </w:r>
            <w:r w:rsidRPr="00EA5816">
              <w:t>s proposée</w:t>
            </w:r>
            <w:r w:rsidR="00EA5816" w:rsidRPr="00EA5816">
              <w:t>s</w:t>
            </w:r>
          </w:p>
        </w:tc>
        <w:tc>
          <w:tcPr>
            <w:tcW w:w="4590" w:type="dxa"/>
          </w:tcPr>
          <w:p w14:paraId="1840E8CC" w14:textId="77777777" w:rsidR="00025A39" w:rsidRDefault="00025A39" w:rsidP="00A86071">
            <w:pPr>
              <w:pStyle w:val="tableauen-tte"/>
            </w:pPr>
            <w:r>
              <w:t>Commentaires</w:t>
            </w:r>
          </w:p>
        </w:tc>
      </w:tr>
      <w:tr w:rsidR="00025A39" w:rsidRPr="00EB424C" w14:paraId="76F23E6E"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1790B454" w14:textId="77777777" w:rsidR="00025A39" w:rsidRDefault="00025A39" w:rsidP="002614AB">
            <w:pPr>
              <w:pStyle w:val="tableautexte"/>
              <w:keepNext/>
              <w:rPr>
                <w:b/>
                <w:bCs/>
              </w:rPr>
            </w:pPr>
            <w:r w:rsidRPr="00025A39">
              <w:rPr>
                <w:b/>
                <w:bCs/>
              </w:rPr>
              <w:t xml:space="preserve">INFORMATION SUR LA DISPONIBILITÉ DES PIÈCES ET SERVICES DE RÉPARATION </w:t>
            </w:r>
          </w:p>
          <w:p w14:paraId="1EB7A583" w14:textId="46679A88" w:rsidR="00025A39" w:rsidRPr="00025A39" w:rsidRDefault="00025A39" w:rsidP="002614AB">
            <w:pPr>
              <w:pStyle w:val="tableautexte"/>
              <w:keepNext/>
              <w:rPr>
                <w:b/>
                <w:bCs/>
              </w:rPr>
            </w:pPr>
            <w:r w:rsidRPr="00025A39">
              <w:rPr>
                <w:b/>
                <w:bCs/>
              </w:rPr>
              <w:t xml:space="preserve">Fabricant </w:t>
            </w:r>
            <w:r w:rsidR="0047776A" w:rsidRPr="00195BA6">
              <w:rPr>
                <w:b/>
                <w:bCs/>
              </w:rPr>
              <w:t>–</w:t>
            </w:r>
            <w:r w:rsidRPr="00025A39">
              <w:rPr>
                <w:b/>
                <w:bCs/>
              </w:rPr>
              <w:t xml:space="preserve"> Obligation d’information : </w:t>
            </w:r>
          </w:p>
          <w:p w14:paraId="40D64E96" w14:textId="396A362B" w:rsidR="00025A39" w:rsidRDefault="00025A39" w:rsidP="002614AB">
            <w:pPr>
              <w:pStyle w:val="tableaupuce2"/>
              <w:keepNext/>
              <w:ind w:left="491" w:hanging="261"/>
            </w:pPr>
            <w:r>
              <w:t xml:space="preserve">Obligation </w:t>
            </w:r>
            <w:r w:rsidR="0018049A">
              <w:t xml:space="preserve">du fabricant </w:t>
            </w:r>
            <w:r>
              <w:t>d’indiquer sur le bien, de la manière prescrite par règlement, si des pièces de rechange et des services de réparation sont disponibles, ainsi que la période durant laquelle ces pièces et services sont disponibles.</w:t>
            </w:r>
          </w:p>
          <w:p w14:paraId="7DDE9874" w14:textId="7E9F503E" w:rsidR="00025A39" w:rsidRDefault="00025A39" w:rsidP="00025A39">
            <w:pPr>
              <w:pStyle w:val="tableaupuce2"/>
              <w:keepNext/>
              <w:numPr>
                <w:ilvl w:val="0"/>
                <w:numId w:val="0"/>
              </w:numPr>
              <w:ind w:left="491"/>
            </w:pPr>
            <w:r>
              <w:t>Dans le cas d’un appareil domestique, cette durée ne pourrait être moindre que la durée minimale de fonctionnement du bien.</w:t>
            </w:r>
          </w:p>
          <w:p w14:paraId="4CBDEC73" w14:textId="7760F141" w:rsidR="00025A39" w:rsidRPr="00EB424C" w:rsidRDefault="00025A39" w:rsidP="00025A39">
            <w:pPr>
              <w:pStyle w:val="tableaupuce2"/>
              <w:keepNext/>
              <w:ind w:left="491" w:hanging="261"/>
            </w:pPr>
            <w:r>
              <w:t>Obligation</w:t>
            </w:r>
            <w:r w:rsidR="0095707F">
              <w:t xml:space="preserve"> du fabricant</w:t>
            </w:r>
            <w:r>
              <w:t xml:space="preserve"> de publier cette information sur son site web, ou par tout autre moyen prévu par règlement, </w:t>
            </w:r>
            <w:proofErr w:type="gramStart"/>
            <w:r>
              <w:t>de façon à ce</w:t>
            </w:r>
            <w:proofErr w:type="gramEnd"/>
            <w:r>
              <w:t xml:space="preserve"> que le consommateur puisse y avoi</w:t>
            </w:r>
            <w:r w:rsidR="0018049A">
              <w:t>r</w:t>
            </w:r>
            <w:r>
              <w:t xml:space="preserve"> accès en tout temps.</w:t>
            </w:r>
          </w:p>
        </w:tc>
        <w:tc>
          <w:tcPr>
            <w:tcW w:w="4590" w:type="dxa"/>
          </w:tcPr>
          <w:p w14:paraId="2D24C6FA" w14:textId="77777777" w:rsidR="00025A39" w:rsidRPr="00EB424C" w:rsidRDefault="00025A39" w:rsidP="00A86071">
            <w:pPr>
              <w:pStyle w:val="tableautexte"/>
            </w:pPr>
          </w:p>
        </w:tc>
      </w:tr>
      <w:tr w:rsidR="00025A39" w:rsidRPr="00EB424C" w14:paraId="37D7CEB7" w14:textId="77777777" w:rsidTr="00A86071">
        <w:trPr>
          <w:cnfStyle w:val="000000010000" w:firstRow="0" w:lastRow="0" w:firstColumn="0" w:lastColumn="0" w:oddVBand="0" w:evenVBand="0" w:oddHBand="0" w:evenHBand="1" w:firstRowFirstColumn="0" w:firstRowLastColumn="0" w:lastRowFirstColumn="0" w:lastRowLastColumn="0"/>
        </w:trPr>
        <w:tc>
          <w:tcPr>
            <w:tcW w:w="5130" w:type="dxa"/>
          </w:tcPr>
          <w:p w14:paraId="0660DC30" w14:textId="70CD8E9C" w:rsidR="00025A39" w:rsidRPr="00025A39" w:rsidRDefault="00025A39" w:rsidP="00025A39">
            <w:pPr>
              <w:pStyle w:val="tableautexte"/>
              <w:rPr>
                <w:b/>
                <w:bCs/>
              </w:rPr>
            </w:pPr>
            <w:r w:rsidRPr="00025A39">
              <w:rPr>
                <w:b/>
                <w:bCs/>
              </w:rPr>
              <w:t xml:space="preserve">Commerçant </w:t>
            </w:r>
            <w:r w:rsidR="00FB0B32" w:rsidRPr="00195BA6">
              <w:rPr>
                <w:b/>
                <w:bCs/>
              </w:rPr>
              <w:t>–</w:t>
            </w:r>
            <w:r w:rsidRPr="00025A39">
              <w:rPr>
                <w:b/>
                <w:bCs/>
              </w:rPr>
              <w:t xml:space="preserve"> Obligation d’information : </w:t>
            </w:r>
          </w:p>
          <w:p w14:paraId="51D8482B" w14:textId="566FD6CE" w:rsidR="00025A39" w:rsidRPr="00025A39" w:rsidRDefault="00025A39" w:rsidP="00025A39">
            <w:pPr>
              <w:pStyle w:val="tableaupuce2"/>
              <w:keepNext/>
              <w:ind w:left="491" w:hanging="261"/>
              <w:rPr>
                <w:b/>
                <w:bCs/>
              </w:rPr>
            </w:pPr>
            <w:r w:rsidRPr="00025A39">
              <w:t>Obligation</w:t>
            </w:r>
            <w:r w:rsidR="0095707F">
              <w:t xml:space="preserve"> du commerçant</w:t>
            </w:r>
            <w:r w:rsidRPr="00025A39">
              <w:t xml:space="preserve"> d’indiquer l’information relative à la garantie de disponibilité des pièces de rechange et des services de réparation à proximité du prix et de façon aussi évidente que celui-ci.</w:t>
            </w:r>
          </w:p>
          <w:p w14:paraId="556ADA74" w14:textId="1062D071" w:rsidR="00025A39" w:rsidRPr="00025A39" w:rsidRDefault="00025A39" w:rsidP="00025A39">
            <w:pPr>
              <w:pStyle w:val="tableaupuce2"/>
              <w:keepNext/>
              <w:numPr>
                <w:ilvl w:val="0"/>
                <w:numId w:val="0"/>
              </w:numPr>
              <w:ind w:left="491"/>
            </w:pPr>
            <w:r w:rsidRPr="00025A39">
              <w:t>Des modalités supplémentaires applicables à la présentation de cette information pourraient aussi être prévues au règlement d’application.</w:t>
            </w:r>
          </w:p>
          <w:p w14:paraId="3CF60FFC" w14:textId="11249DC0" w:rsidR="00025A39" w:rsidRPr="00025A39" w:rsidRDefault="00025A39" w:rsidP="00025A39">
            <w:pPr>
              <w:pStyle w:val="tableaupuce2"/>
              <w:keepNext/>
              <w:ind w:left="491" w:hanging="261"/>
              <w:rPr>
                <w:b/>
                <w:bCs/>
              </w:rPr>
            </w:pPr>
            <w:r w:rsidRPr="00025A39">
              <w:t>Dans le cas où le contrat est conclu à distance (ex</w:t>
            </w:r>
            <w:r w:rsidR="00D67254">
              <w:t>.</w:t>
            </w:r>
            <w:r w:rsidRPr="00025A39">
              <w:t xml:space="preserve"> : par Internet) ou avec un commerçant itinérant, le non-respect de cette obligation d’information devrait aussi donner ouverture à l’exercice du droit de résolution </w:t>
            </w:r>
            <w:r w:rsidRPr="00025A39">
              <w:lastRenderedPageBreak/>
              <w:t>déjà prévu pour ces contrats aux articles</w:t>
            </w:r>
            <w:r w:rsidR="003A184D">
              <w:t> </w:t>
            </w:r>
            <w:r w:rsidRPr="00025A39">
              <w:t>54.8 et 58 al.</w:t>
            </w:r>
            <w:r w:rsidR="003A184D">
              <w:t> </w:t>
            </w:r>
            <w:r w:rsidRPr="00025A39">
              <w:t>2 de la LPC</w:t>
            </w:r>
          </w:p>
        </w:tc>
        <w:tc>
          <w:tcPr>
            <w:tcW w:w="4590" w:type="dxa"/>
          </w:tcPr>
          <w:p w14:paraId="46D0158E" w14:textId="77777777" w:rsidR="00025A39" w:rsidRPr="00EB424C" w:rsidRDefault="00025A39" w:rsidP="00A86071">
            <w:pPr>
              <w:pStyle w:val="tableautexte"/>
            </w:pPr>
          </w:p>
        </w:tc>
      </w:tr>
    </w:tbl>
    <w:p w14:paraId="4DB50552" w14:textId="41F1D254" w:rsidR="00025A39" w:rsidRDefault="00025A39" w:rsidP="00025A39">
      <w:pPr>
        <w:pStyle w:val="Titre3"/>
      </w:pPr>
      <w:r>
        <w:t>Problématique 2.3</w:t>
      </w:r>
    </w:p>
    <w:p w14:paraId="6598A828" w14:textId="0386E713" w:rsidR="00025A39" w:rsidRDefault="00025A39" w:rsidP="00025A39">
      <w:pPr>
        <w:pStyle w:val="textecourant"/>
        <w:rPr>
          <w:rFonts w:cs="Arial"/>
        </w:rPr>
      </w:pPr>
      <w:r>
        <w:rPr>
          <w:rFonts w:cs="Arial"/>
        </w:rPr>
        <w:t>Le deuxième alinéa de l’article</w:t>
      </w:r>
      <w:r w:rsidR="00E34F42">
        <w:rPr>
          <w:rFonts w:cs="Arial"/>
        </w:rPr>
        <w:t> </w:t>
      </w:r>
      <w:r>
        <w:rPr>
          <w:rFonts w:cs="Arial"/>
        </w:rPr>
        <w:t xml:space="preserve">39 prévoit </w:t>
      </w:r>
      <w:r w:rsidRPr="007416D2">
        <w:rPr>
          <w:rFonts w:cs="Arial"/>
        </w:rPr>
        <w:t>que le commerçant ou le fabricant peut se dégager de l’obligation prévue au premier alinéa en avertissant le consommateur par écrit, avant la formation du contrat, qu’il ne fournit pas de pièce de rechange ou de service de réparation</w:t>
      </w:r>
      <w:r>
        <w:rPr>
          <w:rFonts w:cs="Arial"/>
        </w:rPr>
        <w:t>.</w:t>
      </w:r>
    </w:p>
    <w:p w14:paraId="1C7C3F64" w14:textId="2CDB7579" w:rsidR="00025A39" w:rsidRDefault="00025A39" w:rsidP="00025A39">
      <w:pPr>
        <w:pStyle w:val="textecourant"/>
        <w:spacing w:after="240"/>
        <w:rPr>
          <w:rFonts w:cs="Arial"/>
        </w:rPr>
      </w:pPr>
      <w:r>
        <w:rPr>
          <w:rFonts w:cs="Arial"/>
        </w:rPr>
        <w:t xml:space="preserve">Le fabricant ou le commerçant peut donc, à certaines conditions, ne pas fournir </w:t>
      </w:r>
      <w:r w:rsidRPr="007416D2">
        <w:rPr>
          <w:rFonts w:cs="Arial"/>
        </w:rPr>
        <w:t>de pièce de rechange ou de service de réparation.</w:t>
      </w:r>
    </w:p>
    <w:tbl>
      <w:tblPr>
        <w:tblStyle w:val="TableauMODLE"/>
        <w:tblW w:w="0" w:type="auto"/>
        <w:tblLook w:val="0420" w:firstRow="1" w:lastRow="0" w:firstColumn="0" w:lastColumn="0" w:noHBand="0" w:noVBand="1"/>
      </w:tblPr>
      <w:tblGrid>
        <w:gridCol w:w="5130"/>
        <w:gridCol w:w="4590"/>
      </w:tblGrid>
      <w:tr w:rsidR="00025A39" w14:paraId="411F4D64"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130BC193" w14:textId="3429F7C8" w:rsidR="00025A39" w:rsidRDefault="00025A39" w:rsidP="00A86071">
            <w:pPr>
              <w:pStyle w:val="tableauen-tte"/>
            </w:pPr>
            <w:r>
              <w:t>Mesur</w:t>
            </w:r>
            <w:r w:rsidRPr="00EA5816">
              <w:t>es proposée</w:t>
            </w:r>
            <w:r w:rsidR="00EA5816" w:rsidRPr="00EA5816">
              <w:t>s</w:t>
            </w:r>
          </w:p>
        </w:tc>
        <w:tc>
          <w:tcPr>
            <w:tcW w:w="4590" w:type="dxa"/>
          </w:tcPr>
          <w:p w14:paraId="450DE537" w14:textId="77777777" w:rsidR="00025A39" w:rsidRDefault="00025A39" w:rsidP="00A86071">
            <w:pPr>
              <w:pStyle w:val="tableauen-tte"/>
            </w:pPr>
            <w:r>
              <w:t>Commentaires</w:t>
            </w:r>
          </w:p>
        </w:tc>
      </w:tr>
      <w:tr w:rsidR="00025A39" w:rsidRPr="00EB424C" w14:paraId="46B628F1"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38F6C042" w14:textId="77777777" w:rsidR="00025A39" w:rsidRPr="00025A39" w:rsidRDefault="00025A39" w:rsidP="002614AB">
            <w:pPr>
              <w:pStyle w:val="tableautexte"/>
              <w:keepNext/>
              <w:ind w:right="58"/>
              <w:rPr>
                <w:b/>
                <w:bCs/>
              </w:rPr>
            </w:pPr>
            <w:r w:rsidRPr="00025A39">
              <w:rPr>
                <w:b/>
                <w:bCs/>
              </w:rPr>
              <w:t>IMPOSSIBILITÉ DE SE DÉGAGER DE SON OBLIGATION</w:t>
            </w:r>
          </w:p>
          <w:p w14:paraId="331116BD" w14:textId="77777777" w:rsidR="00025A39" w:rsidRPr="00025A39" w:rsidRDefault="00025A39" w:rsidP="002614AB">
            <w:pPr>
              <w:pStyle w:val="tableautexte"/>
              <w:keepNext/>
              <w:ind w:right="58"/>
              <w:rPr>
                <w:b/>
                <w:bCs/>
              </w:rPr>
            </w:pPr>
            <w:r w:rsidRPr="00025A39">
              <w:rPr>
                <w:b/>
                <w:bCs/>
              </w:rPr>
              <w:t>Appareil domestique :</w:t>
            </w:r>
          </w:p>
          <w:p w14:paraId="31E688B6" w14:textId="650F4946" w:rsidR="00025A39" w:rsidRPr="00EB424C" w:rsidRDefault="00025A39" w:rsidP="002614AB">
            <w:pPr>
              <w:pStyle w:val="tableautexte"/>
              <w:keepNext/>
              <w:ind w:right="58"/>
            </w:pPr>
            <w:r w:rsidRPr="00F269AC">
              <w:t xml:space="preserve">Le fabricant ou le commerçant </w:t>
            </w:r>
            <w:r>
              <w:t>ne pourrait pas se dégager des obligations qui découlent de la garantie de disponibilité lorsque le bien est un appareil domestique visé par l’a</w:t>
            </w:r>
            <w:r w:rsidRPr="00AC37EF">
              <w:t>rticle</w:t>
            </w:r>
            <w:r w:rsidR="00E34F42" w:rsidRPr="00AC37EF">
              <w:t> </w:t>
            </w:r>
            <w:r w:rsidRPr="00AC37EF">
              <w:t>182 de la LPC, à moins que le bien soit déclaré irréparable (</w:t>
            </w:r>
            <w:r w:rsidR="00AC37EF" w:rsidRPr="00AC37EF">
              <w:t>voir la problématique 2.4</w:t>
            </w:r>
            <w:r w:rsidRPr="00AC37EF">
              <w:t xml:space="preserve">). </w:t>
            </w:r>
          </w:p>
        </w:tc>
        <w:tc>
          <w:tcPr>
            <w:tcW w:w="4590" w:type="dxa"/>
          </w:tcPr>
          <w:p w14:paraId="74178E2C" w14:textId="77777777" w:rsidR="00025A39" w:rsidRPr="00EB424C" w:rsidRDefault="00025A39" w:rsidP="00A86071">
            <w:pPr>
              <w:pStyle w:val="tableautexte"/>
            </w:pPr>
          </w:p>
        </w:tc>
      </w:tr>
    </w:tbl>
    <w:p w14:paraId="2B1A36F6" w14:textId="1ED3ADD3" w:rsidR="00754858" w:rsidRDefault="00754858" w:rsidP="00754858">
      <w:pPr>
        <w:pStyle w:val="Titre3"/>
      </w:pPr>
      <w:r>
        <w:t>Problématique 2.4</w:t>
      </w:r>
    </w:p>
    <w:p w14:paraId="689DC74B" w14:textId="77777777" w:rsidR="00754858" w:rsidRDefault="00754858" w:rsidP="00754858">
      <w:pPr>
        <w:pStyle w:val="textecourant"/>
        <w:spacing w:after="240"/>
        <w:rPr>
          <w:rFonts w:cs="Arial"/>
        </w:rPr>
      </w:pPr>
      <w:r>
        <w:rPr>
          <w:rFonts w:cs="Arial"/>
        </w:rPr>
        <w:t xml:space="preserve">Certains biens peuvent être conçus de manière à ce qu’il ne soit pas possible d’en réparer les composantes essentielles à leur fonctionnement. </w:t>
      </w:r>
    </w:p>
    <w:p w14:paraId="7A365FF2" w14:textId="545004C2" w:rsidR="00025A39" w:rsidRDefault="00754858" w:rsidP="00754858">
      <w:pPr>
        <w:pStyle w:val="textecourant"/>
        <w:spacing w:after="240"/>
        <w:rPr>
          <w:rFonts w:cs="Arial"/>
        </w:rPr>
      </w:pPr>
      <w:r>
        <w:rPr>
          <w:rFonts w:cs="Arial"/>
        </w:rPr>
        <w:t>Dans les cas où l’irréparabilité du bien constitue de l’obsolescence planifiée, une telle pratique pourrait être interdite (voi</w:t>
      </w:r>
      <w:r w:rsidRPr="00AC37EF">
        <w:t xml:space="preserve">r la </w:t>
      </w:r>
      <w:r w:rsidR="00AC37EF" w:rsidRPr="00AC37EF">
        <w:t>problématique 3.1</w:t>
      </w:r>
      <w:r w:rsidRPr="00AC37EF">
        <w:t>). Da</w:t>
      </w:r>
      <w:r>
        <w:rPr>
          <w:rFonts w:cs="Arial"/>
        </w:rPr>
        <w:t>ns le cas où l’irréparabilité du bien est une caractéristique nécessaire à son fonctionnement, le consommateur devrait être adéquatement informé de cette caractéristique.</w:t>
      </w:r>
    </w:p>
    <w:tbl>
      <w:tblPr>
        <w:tblStyle w:val="TableauMODLE"/>
        <w:tblW w:w="0" w:type="auto"/>
        <w:tblLook w:val="0420" w:firstRow="1" w:lastRow="0" w:firstColumn="0" w:lastColumn="0" w:noHBand="0" w:noVBand="1"/>
      </w:tblPr>
      <w:tblGrid>
        <w:gridCol w:w="5130"/>
        <w:gridCol w:w="4590"/>
      </w:tblGrid>
      <w:tr w:rsidR="00754858" w14:paraId="7E3443CC"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20C75752" w14:textId="0BCF4DD7" w:rsidR="00754858" w:rsidRDefault="00754858" w:rsidP="00A86071">
            <w:pPr>
              <w:pStyle w:val="tableauen-tte"/>
            </w:pPr>
            <w:r w:rsidRPr="00EA5816">
              <w:t>Mesures proposée</w:t>
            </w:r>
            <w:r w:rsidR="00EA5816" w:rsidRPr="00EA5816">
              <w:t>s</w:t>
            </w:r>
          </w:p>
        </w:tc>
        <w:tc>
          <w:tcPr>
            <w:tcW w:w="4590" w:type="dxa"/>
          </w:tcPr>
          <w:p w14:paraId="1A6DB7E3" w14:textId="77777777" w:rsidR="00754858" w:rsidRDefault="00754858" w:rsidP="00A86071">
            <w:pPr>
              <w:pStyle w:val="tableauen-tte"/>
            </w:pPr>
            <w:r>
              <w:t>Commentaires</w:t>
            </w:r>
          </w:p>
        </w:tc>
      </w:tr>
      <w:tr w:rsidR="00754858" w:rsidRPr="00EB424C" w14:paraId="7F133844"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5274D7D9" w14:textId="77777777" w:rsidR="00234C94" w:rsidRDefault="00754858" w:rsidP="00A86071">
            <w:pPr>
              <w:pStyle w:val="tableautexte"/>
              <w:rPr>
                <w:b/>
                <w:bCs/>
              </w:rPr>
            </w:pPr>
            <w:r w:rsidRPr="00754858">
              <w:rPr>
                <w:b/>
                <w:bCs/>
              </w:rPr>
              <w:t>INFORMATION SUR L’IRRÉPARABILITÉ D’UN BIEN</w:t>
            </w:r>
          </w:p>
          <w:p w14:paraId="191E8A93" w14:textId="747548C0" w:rsidR="00754858" w:rsidRPr="00025A39" w:rsidRDefault="00DB3EFE" w:rsidP="00A86071">
            <w:pPr>
              <w:pStyle w:val="tableautexte"/>
              <w:rPr>
                <w:b/>
                <w:bCs/>
              </w:rPr>
            </w:pPr>
            <w:r w:rsidRPr="00DB3EFE">
              <w:rPr>
                <w:b/>
                <w:bCs/>
              </w:rPr>
              <w:t>Définition :</w:t>
            </w:r>
          </w:p>
          <w:p w14:paraId="43B6DFCD" w14:textId="6B95B7A6" w:rsidR="00754858" w:rsidRPr="00EB424C" w:rsidRDefault="00DB3EFE" w:rsidP="00195BA6">
            <w:pPr>
              <w:pStyle w:val="tableautexte"/>
            </w:pPr>
            <w:r w:rsidRPr="00DB3EFE">
              <w:t>La LPC pourrait définir l’irréparabilité d’un bien comme étant une caractéristique de celui-ci selon laquelle il n’est pas possible d’en réparer les composantes essentielles à son fonctionnement en raison de sa conception.</w:t>
            </w:r>
          </w:p>
        </w:tc>
        <w:tc>
          <w:tcPr>
            <w:tcW w:w="4590" w:type="dxa"/>
          </w:tcPr>
          <w:p w14:paraId="59B4905D" w14:textId="77777777" w:rsidR="00754858" w:rsidRPr="00EB424C" w:rsidRDefault="00754858" w:rsidP="00A86071">
            <w:pPr>
              <w:pStyle w:val="tableautexte"/>
            </w:pPr>
          </w:p>
        </w:tc>
      </w:tr>
      <w:tr w:rsidR="00195BA6" w:rsidRPr="00EB424C" w14:paraId="6AAC69F8" w14:textId="77777777" w:rsidTr="00A86071">
        <w:trPr>
          <w:cnfStyle w:val="000000010000" w:firstRow="0" w:lastRow="0" w:firstColumn="0" w:lastColumn="0" w:oddVBand="0" w:evenVBand="0" w:oddHBand="0" w:evenHBand="1" w:firstRowFirstColumn="0" w:firstRowLastColumn="0" w:lastRowFirstColumn="0" w:lastRowLastColumn="0"/>
        </w:trPr>
        <w:tc>
          <w:tcPr>
            <w:tcW w:w="5130" w:type="dxa"/>
          </w:tcPr>
          <w:p w14:paraId="5865A5AB" w14:textId="2D921C87" w:rsidR="00195BA6" w:rsidRPr="00195BA6" w:rsidRDefault="00195BA6" w:rsidP="002614AB">
            <w:pPr>
              <w:pStyle w:val="tableautexte"/>
              <w:keepNext/>
              <w:rPr>
                <w:b/>
                <w:bCs/>
              </w:rPr>
            </w:pPr>
            <w:r w:rsidRPr="00195BA6">
              <w:rPr>
                <w:b/>
                <w:bCs/>
              </w:rPr>
              <w:lastRenderedPageBreak/>
              <w:t xml:space="preserve">Fabricant </w:t>
            </w:r>
            <w:r w:rsidR="003A184D" w:rsidRPr="00195BA6">
              <w:rPr>
                <w:b/>
                <w:bCs/>
              </w:rPr>
              <w:t>–</w:t>
            </w:r>
            <w:r w:rsidRPr="00195BA6">
              <w:rPr>
                <w:b/>
                <w:bCs/>
              </w:rPr>
              <w:t xml:space="preserve"> Obligation d’information : </w:t>
            </w:r>
          </w:p>
          <w:p w14:paraId="7852C3D4" w14:textId="61ABD4B0" w:rsidR="0095707F" w:rsidRPr="00917594" w:rsidRDefault="0095707F" w:rsidP="0095707F">
            <w:pPr>
              <w:pStyle w:val="tableaupuce2"/>
              <w:keepNext/>
              <w:ind w:left="491" w:hanging="261"/>
              <w:rPr>
                <w:b/>
                <w:bCs/>
              </w:rPr>
            </w:pPr>
            <w:r w:rsidRPr="00810BF5">
              <w:t>Obligation</w:t>
            </w:r>
            <w:r>
              <w:t xml:space="preserve"> du fabricant</w:t>
            </w:r>
            <w:r w:rsidRPr="00810BF5">
              <w:t xml:space="preserve"> d</w:t>
            </w:r>
            <w:r>
              <w:t>’indiquer sur le bien, de la manière prescrite par règlement, que celui-ci est irréparable.</w:t>
            </w:r>
            <w:r w:rsidRPr="00D16C0F">
              <w:t xml:space="preserve"> </w:t>
            </w:r>
          </w:p>
          <w:p w14:paraId="48D69B67" w14:textId="02AAC6F2" w:rsidR="00195BA6" w:rsidRPr="0095707F" w:rsidRDefault="0095707F" w:rsidP="00917594">
            <w:pPr>
              <w:pStyle w:val="tableaupuce2"/>
              <w:keepNext/>
              <w:ind w:left="491" w:hanging="261"/>
              <w:rPr>
                <w:b/>
                <w:bCs/>
              </w:rPr>
            </w:pPr>
            <w:r w:rsidRPr="00D16C0F">
              <w:t>Obligation d</w:t>
            </w:r>
            <w:r>
              <w:t>u fabricant</w:t>
            </w:r>
            <w:r w:rsidRPr="00D16C0F">
              <w:t xml:space="preserve"> </w:t>
            </w:r>
            <w:r>
              <w:t xml:space="preserve">de </w:t>
            </w:r>
            <w:r w:rsidRPr="00D16C0F">
              <w:t>publier cette information sur son sur son site web</w:t>
            </w:r>
            <w:r>
              <w:t>, ou par tout autre moyen prévu par règlement,</w:t>
            </w:r>
            <w:r w:rsidRPr="00D16C0F">
              <w:t xml:space="preserve"> </w:t>
            </w:r>
            <w:proofErr w:type="gramStart"/>
            <w:r w:rsidRPr="00D16C0F">
              <w:t>de façon à ce</w:t>
            </w:r>
            <w:proofErr w:type="gramEnd"/>
            <w:r w:rsidRPr="00D16C0F">
              <w:t xml:space="preserve"> que le consommateur puisse y avoir accès en tout temps.</w:t>
            </w:r>
          </w:p>
        </w:tc>
        <w:tc>
          <w:tcPr>
            <w:tcW w:w="4590" w:type="dxa"/>
          </w:tcPr>
          <w:p w14:paraId="6C1487D8" w14:textId="77777777" w:rsidR="00195BA6" w:rsidRPr="00EB424C" w:rsidRDefault="00195BA6" w:rsidP="00A86071">
            <w:pPr>
              <w:pStyle w:val="tableautexte"/>
            </w:pPr>
          </w:p>
        </w:tc>
      </w:tr>
      <w:tr w:rsidR="00195BA6" w:rsidRPr="00EB424C" w14:paraId="4042D004"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42D01F66" w14:textId="45B76E96" w:rsidR="00195BA6" w:rsidRPr="00195BA6" w:rsidRDefault="00195BA6" w:rsidP="00195BA6">
            <w:pPr>
              <w:pStyle w:val="tableautexte"/>
              <w:keepNext/>
              <w:rPr>
                <w:b/>
                <w:bCs/>
              </w:rPr>
            </w:pPr>
            <w:r w:rsidRPr="00195BA6">
              <w:rPr>
                <w:b/>
                <w:bCs/>
              </w:rPr>
              <w:t xml:space="preserve">Commerçant </w:t>
            </w:r>
            <w:r w:rsidR="00FB0B32" w:rsidRPr="00195BA6">
              <w:rPr>
                <w:b/>
                <w:bCs/>
              </w:rPr>
              <w:t>–</w:t>
            </w:r>
            <w:r w:rsidRPr="00195BA6">
              <w:rPr>
                <w:b/>
                <w:bCs/>
              </w:rPr>
              <w:t xml:space="preserve"> Obligation d’information : </w:t>
            </w:r>
          </w:p>
          <w:p w14:paraId="3189C5B5" w14:textId="180B4BF1" w:rsidR="0095707F" w:rsidRPr="00195BA6" w:rsidRDefault="00195BA6" w:rsidP="00195BA6">
            <w:pPr>
              <w:pStyle w:val="tableaupuce2"/>
              <w:keepNext/>
              <w:ind w:left="491" w:hanging="261"/>
            </w:pPr>
            <w:r w:rsidRPr="00195BA6">
              <w:t>Obligation</w:t>
            </w:r>
            <w:r w:rsidR="0095707F">
              <w:t xml:space="preserve"> du commerçant</w:t>
            </w:r>
            <w:r w:rsidRPr="00195BA6">
              <w:t xml:space="preserve"> d’indiquer l’information relative à l’irréparabilité du bien à proximité du prix et de façon aussi évidente que celui-ci.</w:t>
            </w:r>
          </w:p>
          <w:p w14:paraId="7CF6FA5A" w14:textId="67B92674" w:rsidR="0095707F" w:rsidRPr="00195BA6" w:rsidRDefault="00195BA6" w:rsidP="0095707F">
            <w:pPr>
              <w:pStyle w:val="tableaupuce2"/>
              <w:keepNext/>
              <w:numPr>
                <w:ilvl w:val="0"/>
                <w:numId w:val="0"/>
              </w:numPr>
              <w:ind w:left="491"/>
            </w:pPr>
            <w:r w:rsidRPr="00195BA6">
              <w:t>Des modalités supplémentaires applicables à la présentation de cette information pourraient aussi être prévues au règlement d’application</w:t>
            </w:r>
          </w:p>
          <w:p w14:paraId="425556D0" w14:textId="34DEE2B4" w:rsidR="00195BA6" w:rsidRPr="00754858" w:rsidRDefault="00195BA6" w:rsidP="00917594">
            <w:pPr>
              <w:pStyle w:val="tableaupuce2"/>
              <w:keepNext/>
              <w:ind w:left="491" w:hanging="261"/>
              <w:rPr>
                <w:b/>
                <w:bCs/>
              </w:rPr>
            </w:pPr>
            <w:r w:rsidRPr="00981DA1">
              <w:t>Dans le cas où le contrat est conclu à distance (ex</w:t>
            </w:r>
            <w:r w:rsidR="00D67254">
              <w:t>.</w:t>
            </w:r>
            <w:r w:rsidR="002614AB">
              <w:t> </w:t>
            </w:r>
            <w:r w:rsidRPr="00981DA1">
              <w:t>: par Internet) ou avec un commerçant itinérant, le non-respect de cette obligation d’information devrait aussi donner ouverture à l’exercice du droit de résolution déjà prévu pour ces contrats aux articles</w:t>
            </w:r>
            <w:r w:rsidR="003A184D">
              <w:t> </w:t>
            </w:r>
            <w:r w:rsidRPr="00981DA1">
              <w:t>54.8 et 58 al.</w:t>
            </w:r>
            <w:r w:rsidR="003A184D">
              <w:t> </w:t>
            </w:r>
            <w:r w:rsidRPr="00981DA1">
              <w:t>2 de la LPC</w:t>
            </w:r>
            <w:r>
              <w:t>.</w:t>
            </w:r>
          </w:p>
        </w:tc>
        <w:tc>
          <w:tcPr>
            <w:tcW w:w="4590" w:type="dxa"/>
          </w:tcPr>
          <w:p w14:paraId="5EF0358A" w14:textId="77777777" w:rsidR="00195BA6" w:rsidRPr="00EB424C" w:rsidRDefault="00195BA6" w:rsidP="00A86071">
            <w:pPr>
              <w:pStyle w:val="tableautexte"/>
            </w:pPr>
          </w:p>
        </w:tc>
      </w:tr>
    </w:tbl>
    <w:p w14:paraId="22642247" w14:textId="6ABCDAD5" w:rsidR="00C02078" w:rsidRDefault="00C02078" w:rsidP="00EA5816">
      <w:pPr>
        <w:pStyle w:val="Titre2numrot"/>
        <w:spacing w:before="480"/>
      </w:pPr>
      <w:bookmarkStart w:id="29" w:name="_Toc23173513"/>
      <w:bookmarkStart w:id="30" w:name="_Toc23239716"/>
      <w:r w:rsidRPr="00362BBB">
        <w:t>Obsolescence planifiée</w:t>
      </w:r>
      <w:bookmarkEnd w:id="29"/>
      <w:bookmarkEnd w:id="30"/>
      <w:r w:rsidRPr="00362BBB">
        <w:t xml:space="preserve"> </w:t>
      </w:r>
    </w:p>
    <w:p w14:paraId="744DA1EA" w14:textId="5AB6E3D5" w:rsidR="004C2CF2" w:rsidRPr="002907B5" w:rsidRDefault="004C2CF2" w:rsidP="004C2CF2">
      <w:pPr>
        <w:pStyle w:val="Titre3"/>
        <w:rPr>
          <w:highlight w:val="yellow"/>
        </w:rPr>
      </w:pPr>
      <w:r w:rsidRPr="00EB424C">
        <w:t>Problé</w:t>
      </w:r>
      <w:r w:rsidRPr="00AC37EF">
        <w:t xml:space="preserve">matique </w:t>
      </w:r>
      <w:r>
        <w:t>3</w:t>
      </w:r>
      <w:r w:rsidRPr="00AC37EF">
        <w:t>.1</w:t>
      </w:r>
    </w:p>
    <w:p w14:paraId="7683C8F1" w14:textId="77777777" w:rsidR="00C02078" w:rsidRDefault="00C02078" w:rsidP="00C02078">
      <w:pPr>
        <w:pStyle w:val="textecourant"/>
      </w:pPr>
      <w:r>
        <w:t>Des fabricants auraient recours à certaines techniques qui visent à raccourcir la durée de vie ou d’utilisation potentielle d’un bien afin d’en augmenter le taux de remplacement.</w:t>
      </w:r>
    </w:p>
    <w:p w14:paraId="38C0CCDF" w14:textId="77777777" w:rsidR="00C02078" w:rsidRDefault="00C02078" w:rsidP="00C02078">
      <w:pPr>
        <w:pStyle w:val="textecourant"/>
      </w:pPr>
      <w:r>
        <w:t xml:space="preserve">Plusieurs pays à travers le monde, majoritairement européens, étudient présentement la possibilité de reconnaître la pratique de l’ « obsolescence programmée » comme une infraction dans leur législation afin de contrer ce phénomène. </w:t>
      </w:r>
    </w:p>
    <w:p w14:paraId="578062A6" w14:textId="77777777" w:rsidR="00C02078" w:rsidRDefault="00C02078" w:rsidP="00C02078">
      <w:pPr>
        <w:pStyle w:val="textecourant"/>
      </w:pPr>
      <w:r>
        <w:t xml:space="preserve">À ce jour, seule la France a érigé l’interdiction de cette pratique au rang d’une infraction pénale dans sa législation, et ce, depuis 2015. </w:t>
      </w:r>
    </w:p>
    <w:p w14:paraId="735559C3" w14:textId="77777777" w:rsidR="00C02078" w:rsidRPr="00902917" w:rsidRDefault="00C02078" w:rsidP="00C02078">
      <w:pPr>
        <w:pStyle w:val="textecourant"/>
      </w:pPr>
      <w:r>
        <w:t xml:space="preserve">La législation française définit la pratique de l’obsolescence </w:t>
      </w:r>
      <w:r w:rsidRPr="00902917">
        <w:t xml:space="preserve">programmée </w:t>
      </w:r>
      <w:r>
        <w:t xml:space="preserve">comme étant </w:t>
      </w:r>
      <w:r w:rsidRPr="00902917">
        <w:t>le recours à des techniques par lesquelles le responsable de la mise sur le marché d'un produit vise à en réduire délibérément la durée de vie pour en augmenter le taux de remplacement.</w:t>
      </w:r>
    </w:p>
    <w:p w14:paraId="2C61776A" w14:textId="0754D4A7" w:rsidR="00C02078" w:rsidRDefault="00C02078" w:rsidP="00C02078">
      <w:pPr>
        <w:pStyle w:val="textecourant"/>
        <w:spacing w:after="240"/>
      </w:pPr>
      <w:r>
        <w:t xml:space="preserve">Elle y prévoit des sanctions </w:t>
      </w:r>
      <w:r w:rsidRPr="002F3CA0">
        <w:t>monétaires importantes ainsi qu’une peine d’emprisonnement pouvant aller jusqu’à 2</w:t>
      </w:r>
      <w:r w:rsidR="003A184D">
        <w:t> </w:t>
      </w:r>
      <w:r w:rsidRPr="002F3CA0">
        <w:t>ans.</w:t>
      </w:r>
    </w:p>
    <w:tbl>
      <w:tblPr>
        <w:tblStyle w:val="TableauMODLE"/>
        <w:tblW w:w="0" w:type="auto"/>
        <w:tblLook w:val="0420" w:firstRow="1" w:lastRow="0" w:firstColumn="0" w:lastColumn="0" w:noHBand="0" w:noVBand="1"/>
      </w:tblPr>
      <w:tblGrid>
        <w:gridCol w:w="5130"/>
        <w:gridCol w:w="4590"/>
      </w:tblGrid>
      <w:tr w:rsidR="00C02078" w14:paraId="0C5E6679" w14:textId="77777777" w:rsidTr="00A86071">
        <w:trPr>
          <w:cnfStyle w:val="100000000000" w:firstRow="1" w:lastRow="0" w:firstColumn="0" w:lastColumn="0" w:oddVBand="0" w:evenVBand="0" w:oddHBand="0" w:evenHBand="0" w:firstRowFirstColumn="0" w:firstRowLastColumn="0" w:lastRowFirstColumn="0" w:lastRowLastColumn="0"/>
          <w:tblHeader/>
        </w:trPr>
        <w:tc>
          <w:tcPr>
            <w:tcW w:w="5130" w:type="dxa"/>
          </w:tcPr>
          <w:p w14:paraId="322EF4CD" w14:textId="2AE9F571" w:rsidR="00C02078" w:rsidRDefault="00C02078" w:rsidP="00A86071">
            <w:pPr>
              <w:pStyle w:val="tableauen-tte"/>
            </w:pPr>
            <w:r>
              <w:lastRenderedPageBreak/>
              <w:t>M</w:t>
            </w:r>
            <w:r w:rsidRPr="00EA5816">
              <w:t>esures proposée</w:t>
            </w:r>
            <w:r w:rsidR="00EA5816" w:rsidRPr="00EA5816">
              <w:t>s</w:t>
            </w:r>
          </w:p>
        </w:tc>
        <w:tc>
          <w:tcPr>
            <w:tcW w:w="4590" w:type="dxa"/>
          </w:tcPr>
          <w:p w14:paraId="4E722767" w14:textId="77777777" w:rsidR="00C02078" w:rsidRDefault="00C02078" w:rsidP="00A86071">
            <w:pPr>
              <w:pStyle w:val="tableauen-tte"/>
            </w:pPr>
            <w:r>
              <w:t>Commentaires</w:t>
            </w:r>
          </w:p>
        </w:tc>
      </w:tr>
      <w:tr w:rsidR="00C02078" w:rsidRPr="00EB424C" w14:paraId="6B89F752"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1C8DF172" w14:textId="77777777" w:rsidR="00C02078" w:rsidRPr="00025A39" w:rsidRDefault="00C02078" w:rsidP="00A86071">
            <w:pPr>
              <w:pStyle w:val="tableautexte"/>
              <w:rPr>
                <w:b/>
                <w:bCs/>
              </w:rPr>
            </w:pPr>
            <w:r w:rsidRPr="00195BA6">
              <w:rPr>
                <w:b/>
                <w:bCs/>
              </w:rPr>
              <w:t xml:space="preserve">OBSOLESCENCE PLANIFIÉE – INTERDICTION </w:t>
            </w:r>
          </w:p>
          <w:p w14:paraId="0C7472D1" w14:textId="77777777" w:rsidR="00C02078" w:rsidRPr="00195BA6" w:rsidRDefault="00C02078" w:rsidP="00A86071">
            <w:pPr>
              <w:pStyle w:val="tableautexte"/>
              <w:rPr>
                <w:b/>
                <w:bCs/>
              </w:rPr>
            </w:pPr>
            <w:r w:rsidRPr="00195BA6">
              <w:rPr>
                <w:b/>
                <w:bCs/>
              </w:rPr>
              <w:t>Pratique interdite :</w:t>
            </w:r>
          </w:p>
          <w:p w14:paraId="6A656B94" w14:textId="77777777" w:rsidR="00C02078" w:rsidRPr="00195BA6" w:rsidRDefault="00C02078" w:rsidP="00A86071">
            <w:pPr>
              <w:pStyle w:val="tableautexte"/>
            </w:pPr>
            <w:r>
              <w:t>Ajouter au titre II de la LPC, qui interdit plusieurs pratiques de commerce, une interdiction pour le fabricant de recourir à une pratique qui constitue de l’obsolescence planifiée.</w:t>
            </w:r>
          </w:p>
        </w:tc>
        <w:tc>
          <w:tcPr>
            <w:tcW w:w="4590" w:type="dxa"/>
          </w:tcPr>
          <w:p w14:paraId="4FDCFAAF" w14:textId="77777777" w:rsidR="00C02078" w:rsidRPr="00EB424C" w:rsidRDefault="00C02078" w:rsidP="00A86071">
            <w:pPr>
              <w:pStyle w:val="tableautexte"/>
            </w:pPr>
          </w:p>
        </w:tc>
      </w:tr>
      <w:tr w:rsidR="00C02078" w:rsidRPr="00EB424C" w14:paraId="57E5BB51" w14:textId="77777777" w:rsidTr="00A86071">
        <w:trPr>
          <w:cnfStyle w:val="000000010000" w:firstRow="0" w:lastRow="0" w:firstColumn="0" w:lastColumn="0" w:oddVBand="0" w:evenVBand="0" w:oddHBand="0" w:evenHBand="1" w:firstRowFirstColumn="0" w:firstRowLastColumn="0" w:lastRowFirstColumn="0" w:lastRowLastColumn="0"/>
        </w:trPr>
        <w:tc>
          <w:tcPr>
            <w:tcW w:w="5130" w:type="dxa"/>
          </w:tcPr>
          <w:p w14:paraId="26E1E646" w14:textId="77777777" w:rsidR="00C02078" w:rsidRPr="00195BA6" w:rsidRDefault="00C02078" w:rsidP="00A86071">
            <w:pPr>
              <w:pStyle w:val="tableautexte"/>
              <w:rPr>
                <w:b/>
                <w:bCs/>
              </w:rPr>
            </w:pPr>
            <w:r w:rsidRPr="00195BA6">
              <w:rPr>
                <w:b/>
                <w:bCs/>
              </w:rPr>
              <w:t xml:space="preserve">Définition : </w:t>
            </w:r>
          </w:p>
          <w:p w14:paraId="434BCB0B" w14:textId="0C4929AF" w:rsidR="00C02078" w:rsidRPr="00195BA6" w:rsidRDefault="00C02078" w:rsidP="00A86071">
            <w:pPr>
              <w:pStyle w:val="tableautexte"/>
            </w:pPr>
            <w:r>
              <w:t>L’obsolescence planifiée pourrait être définie comme suit</w:t>
            </w:r>
            <w:r w:rsidR="002614AB">
              <w:t> </w:t>
            </w:r>
            <w:r>
              <w:t>: p</w:t>
            </w:r>
            <w:r w:rsidRPr="00902917">
              <w:t xml:space="preserve">rocédé par lequel le fabricant d’un bien vise à réduire sa durée </w:t>
            </w:r>
            <w:r>
              <w:t xml:space="preserve">normale </w:t>
            </w:r>
            <w:r w:rsidRPr="00902917">
              <w:t>de fonctionnement</w:t>
            </w:r>
            <w:r>
              <w:t>, considérant notamment son coût</w:t>
            </w:r>
            <w:r w:rsidRPr="00902917">
              <w:t>.</w:t>
            </w:r>
          </w:p>
        </w:tc>
        <w:tc>
          <w:tcPr>
            <w:tcW w:w="4590" w:type="dxa"/>
          </w:tcPr>
          <w:p w14:paraId="4DB94700" w14:textId="77777777" w:rsidR="00C02078" w:rsidRPr="00EB424C" w:rsidRDefault="00C02078" w:rsidP="00A86071">
            <w:pPr>
              <w:pStyle w:val="tableautexte"/>
            </w:pPr>
          </w:p>
        </w:tc>
      </w:tr>
    </w:tbl>
    <w:p w14:paraId="17ED2CCE" w14:textId="436C7D44" w:rsidR="00774AA4" w:rsidRPr="00EB424C" w:rsidRDefault="004C3F41" w:rsidP="00934723">
      <w:pPr>
        <w:pStyle w:val="sautdesection"/>
        <w:rPr>
          <w:rFonts w:ascii="Arial Gras" w:hAnsi="Arial Gras"/>
          <w:b w:val="0"/>
          <w:vanish/>
        </w:rPr>
      </w:pPr>
      <w:r w:rsidRPr="00EB424C">
        <w:rPr>
          <w:rFonts w:ascii="Arial Gras" w:hAnsi="Arial Gras"/>
          <w:b w:val="0"/>
          <w:vanish/>
        </w:rPr>
        <w:t xml:space="preserve">Ne pas supprimer cette phrase en rouge (saut de section) </w:t>
      </w:r>
      <w:r w:rsidRPr="00EB424C">
        <w:rPr>
          <w:rFonts w:ascii="Arial Gras" w:hAnsi="Arial Gras"/>
          <w:b w:val="0"/>
          <w:vanish/>
        </w:rPr>
        <w:br/>
        <w:t>et placer le texte de votre dernière page sur la page suivante.</w:t>
      </w:r>
    </w:p>
    <w:p w14:paraId="00DC9549" w14:textId="77777777" w:rsidR="00774AA4" w:rsidRPr="00EB424C" w:rsidRDefault="00774AA4" w:rsidP="008C4CAD">
      <w:pPr>
        <w:sectPr w:rsidR="00774AA4" w:rsidRPr="00EB424C" w:rsidSect="00046EBC">
          <w:headerReference w:type="even" r:id="rId11"/>
          <w:headerReference w:type="default" r:id="rId12"/>
          <w:footerReference w:type="even" r:id="rId13"/>
          <w:footerReference w:type="default" r:id="rId14"/>
          <w:headerReference w:type="first" r:id="rId15"/>
          <w:footerReference w:type="first" r:id="rId16"/>
          <w:pgSz w:w="12240" w:h="15840"/>
          <w:pgMar w:top="1584" w:right="1224" w:bottom="1080" w:left="1224" w:header="720" w:footer="0" w:gutter="0"/>
          <w:cols w:space="708"/>
          <w:titlePg/>
          <w:docGrid w:linePitch="360"/>
        </w:sectPr>
      </w:pPr>
    </w:p>
    <w:p w14:paraId="0F94541C" w14:textId="77777777" w:rsidR="002907B5" w:rsidRPr="00362BBB" w:rsidRDefault="002907B5" w:rsidP="00EA5816">
      <w:pPr>
        <w:pStyle w:val="Titre2numrot"/>
        <w:spacing w:before="480"/>
      </w:pPr>
      <w:bookmarkStart w:id="31" w:name="_Toc23173514"/>
      <w:bookmarkStart w:id="32" w:name="_Toc23239717"/>
      <w:r w:rsidRPr="00362BBB">
        <w:lastRenderedPageBreak/>
        <w:t>Recours et sanctions</w:t>
      </w:r>
      <w:bookmarkEnd w:id="31"/>
      <w:bookmarkEnd w:id="32"/>
    </w:p>
    <w:tbl>
      <w:tblPr>
        <w:tblStyle w:val="TableauMODLE"/>
        <w:tblW w:w="0" w:type="auto"/>
        <w:tblLook w:val="0420" w:firstRow="1" w:lastRow="0" w:firstColumn="0" w:lastColumn="0" w:noHBand="0" w:noVBand="1"/>
      </w:tblPr>
      <w:tblGrid>
        <w:gridCol w:w="5130"/>
        <w:gridCol w:w="4590"/>
      </w:tblGrid>
      <w:tr w:rsidR="00C02078" w:rsidRPr="00EB424C" w14:paraId="64A28AA6" w14:textId="77777777" w:rsidTr="00A86071">
        <w:trPr>
          <w:cnfStyle w:val="100000000000" w:firstRow="1" w:lastRow="0" w:firstColumn="0" w:lastColumn="0" w:oddVBand="0" w:evenVBand="0" w:oddHBand="0" w:evenHBand="0" w:firstRowFirstColumn="0" w:firstRowLastColumn="0" w:lastRowFirstColumn="0" w:lastRowLastColumn="0"/>
        </w:trPr>
        <w:tc>
          <w:tcPr>
            <w:tcW w:w="5130" w:type="dxa"/>
          </w:tcPr>
          <w:p w14:paraId="674E0AD8" w14:textId="6C79BCB3" w:rsidR="00C02078" w:rsidRPr="00FD3497" w:rsidRDefault="00C02078" w:rsidP="00C02078">
            <w:pPr>
              <w:pStyle w:val="tableauen-tte"/>
            </w:pPr>
            <w:r>
              <w:t>M</w:t>
            </w:r>
            <w:r w:rsidRPr="00EA5816">
              <w:t>esures proposée</w:t>
            </w:r>
            <w:r w:rsidR="00EA5816" w:rsidRPr="00EA5816">
              <w:t>s</w:t>
            </w:r>
          </w:p>
        </w:tc>
        <w:tc>
          <w:tcPr>
            <w:tcW w:w="4590" w:type="dxa"/>
          </w:tcPr>
          <w:p w14:paraId="3802F5F5" w14:textId="40BFC3D7" w:rsidR="00C02078" w:rsidRPr="00EB424C" w:rsidRDefault="00C02078" w:rsidP="00C02078">
            <w:pPr>
              <w:pStyle w:val="tableauen-tte"/>
            </w:pPr>
            <w:r>
              <w:t>Commentaires</w:t>
            </w:r>
          </w:p>
        </w:tc>
      </w:tr>
      <w:tr w:rsidR="00C02078" w:rsidRPr="00EB424C" w14:paraId="373B89BE" w14:textId="77777777" w:rsidTr="00A86071">
        <w:trPr>
          <w:cnfStyle w:val="000000100000" w:firstRow="0" w:lastRow="0" w:firstColumn="0" w:lastColumn="0" w:oddVBand="0" w:evenVBand="0" w:oddHBand="1" w:evenHBand="0" w:firstRowFirstColumn="0" w:firstRowLastColumn="0" w:lastRowFirstColumn="0" w:lastRowLastColumn="0"/>
        </w:trPr>
        <w:tc>
          <w:tcPr>
            <w:tcW w:w="5130" w:type="dxa"/>
          </w:tcPr>
          <w:p w14:paraId="686AB4E9" w14:textId="6FB865FA" w:rsidR="00C02078" w:rsidRPr="00FD3497" w:rsidRDefault="00C02078" w:rsidP="00A86071">
            <w:pPr>
              <w:pStyle w:val="tableautexte"/>
            </w:pPr>
            <w:r w:rsidRPr="00FD3497">
              <w:t xml:space="preserve">À noter que la </w:t>
            </w:r>
            <w:r>
              <w:t>LPC</w:t>
            </w:r>
            <w:r w:rsidRPr="00FD3497">
              <w:t xml:space="preserve"> prévoit</w:t>
            </w:r>
            <w:r>
              <w:t xml:space="preserve"> déjà</w:t>
            </w:r>
            <w:r w:rsidRPr="00FD3497">
              <w:t>, à son article</w:t>
            </w:r>
            <w:r w:rsidR="003A184D">
              <w:t> </w:t>
            </w:r>
            <w:r w:rsidRPr="00FD3497">
              <w:t>272, les recours civils que peuvent exercer les consommateurs si le commerçant ou le fabricant manque à une obligation qu’elle lui impose.</w:t>
            </w:r>
          </w:p>
          <w:p w14:paraId="60AB3944" w14:textId="2D209A0D" w:rsidR="00C02078" w:rsidRPr="00C02078" w:rsidRDefault="00C02078" w:rsidP="00A86071">
            <w:pPr>
              <w:pStyle w:val="tableautexte"/>
            </w:pPr>
            <w:r w:rsidRPr="00FD3497">
              <w:t xml:space="preserve">La </w:t>
            </w:r>
            <w:r>
              <w:t>LPC</w:t>
            </w:r>
            <w:r w:rsidRPr="00FD3497">
              <w:t xml:space="preserve"> prévoit également, aux articles</w:t>
            </w:r>
            <w:r w:rsidR="003A184D">
              <w:t> </w:t>
            </w:r>
            <w:r w:rsidRPr="00FD3497">
              <w:t>277 et suivants, que la personne qui contrevient à la loi commet une infraction et est sujette aux sanctions qui y sont prévues si elle est reconnue coupable de l’infraction.</w:t>
            </w:r>
          </w:p>
        </w:tc>
        <w:tc>
          <w:tcPr>
            <w:tcW w:w="4590" w:type="dxa"/>
          </w:tcPr>
          <w:p w14:paraId="23C0D1C0" w14:textId="77777777" w:rsidR="00C02078" w:rsidRPr="00EB424C" w:rsidRDefault="00C02078" w:rsidP="00A86071">
            <w:pPr>
              <w:pStyle w:val="tableautexte"/>
            </w:pPr>
          </w:p>
        </w:tc>
      </w:tr>
    </w:tbl>
    <w:p w14:paraId="2F519916" w14:textId="72098D23" w:rsidR="00C02078" w:rsidRDefault="00C02078" w:rsidP="00420631">
      <w:pPr>
        <w:pStyle w:val="textecourant"/>
      </w:pPr>
    </w:p>
    <w:sectPr w:rsidR="00C02078" w:rsidSect="00537B86">
      <w:footerReference w:type="default" r:id="rId17"/>
      <w:pgSz w:w="12240" w:h="15840"/>
      <w:pgMar w:top="1584" w:right="1224" w:bottom="1224" w:left="1224" w:header="720" w:footer="7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47">
      <wne:acd wne:acdName="acd0"/>
    </wne:keymap>
    <wne:keymap wne:kcmPrimary="0249">
      <wne:acd wne:acdName="acd1"/>
    </wne:keymap>
    <wne:keymap wne:kcmPrimary="024C">
      <wne:acd wne:acdName="acd4"/>
    </wne:keymap>
    <wne:keymap wne:kcmPrimary="024D">
      <wne:acd wne:acdName="acd3"/>
    </wne:keymap>
    <wne:keymap wne:kcmPrimary="0255">
      <wne:acd wne:acdName="acd2"/>
    </wne:keymap>
    <wne:keymap wne:kcmPrimary="02BE">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gBfACgAYwBhAHIAYQBjAHQA6AByAGUAcwApACAAZwByAGEAcwA=" wne:acdName="acd0" wne:fciIndexBasedOn="0065"/>
    <wne:acd wne:argValue="AgBfACgAYwBhAHIAYQBjAHQA6AByAGUAcwApACAAaQB0AGEAbABpAHEAdQBlAA==" wne:acdName="acd1" wne:fciIndexBasedOn="0065"/>
    <wne:acd wne:argValue="AgBfACgAYwBhAHIAYQBjAHQA6AByAGUAcwApACAAcwBvAHUAbABpAGcAbgDpAA==" wne:acdName="acd2" wne:fciIndexBasedOn="0065"/>
    <wne:acd wne:argValue="AQAAAAIA" wne:acdName="acd3" wne:fciIndexBasedOn="0065"/>
    <wne:acd wne:argValue="AQAAAAMA" wne:acdName="acd4" wne:fciIndexBasedOn="0065"/>
    <wne:acd wne:argValue="AgBfAHQAZQB4AHQAZQAgAGMAbwB1AHIAYQBuAHQ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387F1" w14:textId="77777777" w:rsidR="003A276F" w:rsidRDefault="003A276F" w:rsidP="002B6BA3">
      <w:pPr>
        <w:spacing w:after="0" w:line="240" w:lineRule="auto"/>
      </w:pPr>
      <w:r>
        <w:separator/>
      </w:r>
    </w:p>
    <w:p w14:paraId="64E313FF" w14:textId="77777777" w:rsidR="003A276F" w:rsidRDefault="003A276F"/>
  </w:endnote>
  <w:endnote w:type="continuationSeparator" w:id="0">
    <w:p w14:paraId="1C1475B3" w14:textId="77777777" w:rsidR="003A276F" w:rsidRDefault="003A276F" w:rsidP="002B6BA3">
      <w:pPr>
        <w:spacing w:after="0" w:line="240" w:lineRule="auto"/>
      </w:pPr>
      <w:r>
        <w:continuationSeparator/>
      </w:r>
    </w:p>
    <w:p w14:paraId="57F40734" w14:textId="77777777" w:rsidR="003A276F" w:rsidRDefault="003A2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MT">
    <w:panose1 w:val="00000000000000000000"/>
    <w:charset w:val="4D"/>
    <w:family w:val="auto"/>
    <w:notTrueType/>
    <w:pitch w:val="default"/>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BC73" w14:textId="77777777" w:rsidR="000731B2" w:rsidRDefault="000731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08A0" w14:textId="77777777" w:rsidR="001C07CB" w:rsidRPr="001C07CB" w:rsidRDefault="001C07CB" w:rsidP="007F3132">
    <w:pPr>
      <w:pStyle w:val="Pieddepage"/>
      <w:jc w:val="center"/>
      <w:rPr>
        <w:rFonts w:ascii="Arial" w:hAnsi="Arial" w:cs="Arial"/>
        <w:b/>
        <w:sz w:val="16"/>
      </w:rPr>
    </w:pPr>
    <w:r>
      <w:rPr>
        <w:rFonts w:ascii="Arial" w:hAnsi="Arial" w:cs="Arial"/>
        <w:b/>
        <w:noProof/>
        <w:sz w:val="16"/>
        <w:lang w:eastAsia="fr-CA"/>
      </w:rPr>
      <w:drawing>
        <wp:anchor distT="0" distB="0" distL="114300" distR="114300" simplePos="0" relativeHeight="251675648" behindDoc="1" locked="0" layoutInCell="1" allowOverlap="1" wp14:anchorId="31757AFF" wp14:editId="6F186B6C">
          <wp:simplePos x="0" y="0"/>
          <wp:positionH relativeFrom="page">
            <wp:posOffset>786130</wp:posOffset>
          </wp:positionH>
          <wp:positionV relativeFrom="page">
            <wp:posOffset>9512935</wp:posOffset>
          </wp:positionV>
          <wp:extent cx="6199505" cy="393065"/>
          <wp:effectExtent l="0" t="0" r="0" b="6985"/>
          <wp:wrapNone/>
          <wp:docPr id="31" name="Image 31" desc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ed_de_page_nouveau-01.tif"/>
                  <pic:cNvPicPr/>
                </pic:nvPicPr>
                <pic:blipFill>
                  <a:blip r:embed="rId1">
                    <a:extLst>
                      <a:ext uri="{28A0092B-C50C-407E-A947-70E740481C1C}">
                        <a14:useLocalDpi xmlns:a14="http://schemas.microsoft.com/office/drawing/2010/main" val="0"/>
                      </a:ext>
                    </a:extLst>
                  </a:blip>
                  <a:stretch>
                    <a:fillRect/>
                  </a:stretch>
                </pic:blipFill>
                <pic:spPr>
                  <a:xfrm>
                    <a:off x="0" y="0"/>
                    <a:ext cx="6199505" cy="393065"/>
                  </a:xfrm>
                  <a:prstGeom prst="rect">
                    <a:avLst/>
                  </a:prstGeom>
                </pic:spPr>
              </pic:pic>
            </a:graphicData>
          </a:graphic>
          <wp14:sizeRelH relativeFrom="margin">
            <wp14:pctWidth>0</wp14:pctWidth>
          </wp14:sizeRelH>
          <wp14:sizeRelV relativeFrom="margin">
            <wp14:pctHeight>0</wp14:pctHeight>
          </wp14:sizeRelV>
        </wp:anchor>
      </w:drawing>
    </w:r>
    <w:r w:rsidRPr="00380D7A">
      <w:rPr>
        <w:rFonts w:ascii="Arial" w:hAnsi="Arial" w:cs="Arial"/>
        <w:b/>
        <w:sz w:val="16"/>
      </w:rPr>
      <w:fldChar w:fldCharType="begin"/>
    </w:r>
    <w:r w:rsidRPr="00380D7A">
      <w:rPr>
        <w:rFonts w:ascii="Arial" w:hAnsi="Arial" w:cs="Arial"/>
        <w:b/>
        <w:sz w:val="16"/>
      </w:rPr>
      <w:instrText>PAGE   \* MERGEFORMAT</w:instrText>
    </w:r>
    <w:r w:rsidRPr="00380D7A">
      <w:rPr>
        <w:rFonts w:ascii="Arial" w:hAnsi="Arial" w:cs="Arial"/>
        <w:b/>
        <w:sz w:val="16"/>
      </w:rPr>
      <w:fldChar w:fldCharType="separate"/>
    </w:r>
    <w:r w:rsidR="008D0282" w:rsidRPr="008D0282">
      <w:rPr>
        <w:rFonts w:ascii="Arial" w:hAnsi="Arial" w:cs="Arial"/>
        <w:b/>
        <w:noProof/>
        <w:sz w:val="16"/>
        <w:lang w:val="fr-FR"/>
      </w:rPr>
      <w:t>2</w:t>
    </w:r>
    <w:r w:rsidRPr="00380D7A">
      <w:rPr>
        <w:rFonts w:ascii="Arial" w:hAnsi="Arial" w:cs="Arial"/>
        <w:b/>
        <w:sz w:val="16"/>
      </w:rPr>
      <w:fldChar w:fldCharType="end"/>
    </w:r>
  </w:p>
  <w:p w14:paraId="301BD694" w14:textId="77777777" w:rsidR="00CC0358" w:rsidRDefault="00CC03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59DF3" w14:textId="646EEEF4" w:rsidR="000731B2" w:rsidRDefault="000731B2">
    <w:pPr>
      <w:pStyle w:val="Pieddepage"/>
    </w:pPr>
    <w:r>
      <w:rPr>
        <w:noProof/>
        <w:lang w:eastAsia="fr-CA"/>
      </w:rPr>
      <w:drawing>
        <wp:anchor distT="0" distB="0" distL="114300" distR="114300" simplePos="0" relativeHeight="251681792" behindDoc="0" locked="0" layoutInCell="1" allowOverlap="1" wp14:anchorId="618E024D" wp14:editId="702F274C">
          <wp:simplePos x="0" y="0"/>
          <wp:positionH relativeFrom="column">
            <wp:posOffset>6985</wp:posOffset>
          </wp:positionH>
          <wp:positionV relativeFrom="paragraph">
            <wp:posOffset>-628650</wp:posOffset>
          </wp:positionV>
          <wp:extent cx="1273810" cy="377190"/>
          <wp:effectExtent l="0" t="0" r="254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re-gouv_couleur.png"/>
                  <pic:cNvPicPr/>
                </pic:nvPicPr>
                <pic:blipFill>
                  <a:blip r:embed="rId1">
                    <a:extLst>
                      <a:ext uri="{28A0092B-C50C-407E-A947-70E740481C1C}">
                        <a14:useLocalDpi xmlns:a14="http://schemas.microsoft.com/office/drawing/2010/main" val="0"/>
                      </a:ext>
                    </a:extLst>
                  </a:blip>
                  <a:stretch>
                    <a:fillRect/>
                  </a:stretch>
                </pic:blipFill>
                <pic:spPr>
                  <a:xfrm>
                    <a:off x="0" y="0"/>
                    <a:ext cx="1273810" cy="37719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A29C" w14:textId="77777777" w:rsidR="00774AA4" w:rsidRPr="00774AA4" w:rsidRDefault="00471E2A" w:rsidP="00774AA4">
    <w:pPr>
      <w:pStyle w:val="Pieddepage"/>
      <w:spacing w:after="360"/>
      <w:jc w:val="center"/>
      <w:rPr>
        <w:rFonts w:ascii="Arial" w:hAnsi="Arial" w:cs="Arial"/>
        <w:b/>
        <w:sz w:val="16"/>
      </w:rPr>
    </w:pPr>
    <w:r w:rsidRPr="00471E2A">
      <w:rPr>
        <w:rFonts w:ascii="Arial" w:hAnsi="Arial" w:cs="Arial"/>
        <w:b/>
        <w:noProof/>
        <w:sz w:val="16"/>
        <w:lang w:eastAsia="fr-CA"/>
      </w:rPr>
      <w:drawing>
        <wp:anchor distT="0" distB="0" distL="114300" distR="114300" simplePos="0" relativeHeight="251677696" behindDoc="0" locked="0" layoutInCell="1" allowOverlap="1" wp14:anchorId="2CEA8CBF" wp14:editId="3D263528">
          <wp:simplePos x="0" y="0"/>
          <wp:positionH relativeFrom="column">
            <wp:posOffset>-320040</wp:posOffset>
          </wp:positionH>
          <wp:positionV relativeFrom="page">
            <wp:posOffset>9052560</wp:posOffset>
          </wp:positionV>
          <wp:extent cx="1536192" cy="548685"/>
          <wp:effectExtent l="0" t="0" r="6985" b="3810"/>
          <wp:wrapNone/>
          <wp:docPr id="3" name="Image 3" descr="Logo de l'Office de la protection du consomm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C.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192" cy="548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766C9" w14:textId="77777777" w:rsidR="003A276F" w:rsidRDefault="003A276F" w:rsidP="00970D6C">
      <w:pPr>
        <w:spacing w:before="600" w:after="0" w:line="240" w:lineRule="auto"/>
      </w:pPr>
      <w:r>
        <w:separator/>
      </w:r>
    </w:p>
  </w:footnote>
  <w:footnote w:type="continuationSeparator" w:id="0">
    <w:p w14:paraId="3135F8D6" w14:textId="77777777" w:rsidR="003A276F" w:rsidRDefault="003A276F" w:rsidP="002B6BA3">
      <w:pPr>
        <w:spacing w:after="0" w:line="240" w:lineRule="auto"/>
      </w:pPr>
      <w:r>
        <w:continuationSeparator/>
      </w:r>
    </w:p>
    <w:p w14:paraId="7E97F74A" w14:textId="77777777" w:rsidR="003A276F" w:rsidRDefault="003A2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E00F" w14:textId="77777777" w:rsidR="000731B2" w:rsidRDefault="000731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2" w:type="dxa"/>
      <w:tblBorders>
        <w:right w:val="single" w:sz="4" w:space="0" w:color="D8D96E"/>
      </w:tblBorders>
      <w:tblCellMar>
        <w:left w:w="0" w:type="dxa"/>
        <w:right w:w="0" w:type="dxa"/>
      </w:tblCellMar>
      <w:tblLook w:val="04A0" w:firstRow="1" w:lastRow="0" w:firstColumn="1" w:lastColumn="0" w:noHBand="0" w:noVBand="1"/>
    </w:tblPr>
    <w:tblGrid>
      <w:gridCol w:w="864"/>
      <w:gridCol w:w="8928"/>
    </w:tblGrid>
    <w:tr w:rsidR="001C07CB" w:rsidRPr="004916F6" w14:paraId="10ECFB29" w14:textId="77777777" w:rsidTr="00A86071">
      <w:trPr>
        <w:trHeight w:val="20"/>
      </w:trPr>
      <w:sdt>
        <w:sdtPr>
          <w:alias w:val="Date de publication"/>
          <w:tag w:val=""/>
          <w:id w:val="1496532143"/>
          <w:placeholder>
            <w:docPart w:val="7C2F3A60CA93424A97DBA898AF5A5E3F"/>
          </w:placeholder>
          <w:dataBinding w:prefixMappings="xmlns:ns0='http://schemas.microsoft.com/office/2006/coverPageProps' " w:xpath="/ns0:CoverPageProperties[1]/ns0:PublishDate[1]" w:storeItemID="{55AF091B-3C7A-41E3-B477-F2FDAA23CFDA}"/>
          <w:date w:fullDate="2019-10-30T00:00:00Z">
            <w:dateFormat w:val="yyyy-MM-dd"/>
            <w:lid w:val="fr-CA"/>
            <w:storeMappedDataAs w:val="dateTime"/>
            <w:calendar w:val="gregorian"/>
          </w:date>
        </w:sdtPr>
        <w:sdtEndPr/>
        <w:sdtContent>
          <w:tc>
            <w:tcPr>
              <w:tcW w:w="864" w:type="dxa"/>
              <w:tcBorders>
                <w:right w:val="single" w:sz="4" w:space="0" w:color="D8D96E"/>
              </w:tcBorders>
              <w:shd w:val="clear" w:color="auto" w:fill="auto"/>
            </w:tcPr>
            <w:p w14:paraId="5F13BF85" w14:textId="4B15A5F3" w:rsidR="001C07CB" w:rsidRPr="004916F6" w:rsidRDefault="00340CF4" w:rsidP="00BB1F10">
              <w:pPr>
                <w:pStyle w:val="en-tetedate"/>
              </w:pPr>
              <w:r>
                <w:t>2019-10-30</w:t>
              </w:r>
            </w:p>
          </w:tc>
        </w:sdtContent>
      </w:sdt>
      <w:sdt>
        <w:sdtPr>
          <w:alias w:val="Titre "/>
          <w:tag w:val=""/>
          <w:id w:val="1370798796"/>
          <w:placeholder>
            <w:docPart w:val="5F23C5B17E1D4A62A52E619BDA353BF5"/>
          </w:placeholder>
          <w:dataBinding w:prefixMappings="xmlns:ns0='http://purl.org/dc/elements/1.1/' xmlns:ns1='http://schemas.openxmlformats.org/package/2006/metadata/core-properties' " w:xpath="/ns1:coreProperties[1]/ns0:title[1]" w:storeItemID="{6C3C8BC8-F283-45AE-878A-BAB7291924A1}"/>
          <w:text/>
        </w:sdtPr>
        <w:sdtEndPr/>
        <w:sdtContent>
          <w:tc>
            <w:tcPr>
              <w:tcW w:w="8928" w:type="dxa"/>
              <w:tcBorders>
                <w:left w:val="single" w:sz="4" w:space="0" w:color="D8D96E"/>
                <w:right w:val="nil"/>
              </w:tcBorders>
              <w:shd w:val="clear" w:color="auto" w:fill="auto"/>
              <w:tcMar>
                <w:left w:w="144" w:type="dxa"/>
              </w:tcMar>
            </w:tcPr>
            <w:p w14:paraId="13A736C6" w14:textId="1404D484" w:rsidR="001C07CB" w:rsidRPr="004916F6" w:rsidRDefault="00234C94" w:rsidP="00BB1F10">
              <w:pPr>
                <w:pStyle w:val="en-tetetitre"/>
              </w:pPr>
              <w:r>
                <w:t>Durabilité et réparabilité des biens</w:t>
              </w:r>
            </w:p>
          </w:tc>
        </w:sdtContent>
      </w:sdt>
    </w:tr>
  </w:tbl>
  <w:p w14:paraId="6E6C1455" w14:textId="77777777" w:rsidR="001C07CB" w:rsidRDefault="001C07CB">
    <w:pPr>
      <w:pStyle w:val="En-tte"/>
    </w:pPr>
  </w:p>
  <w:p w14:paraId="1D7CA9EF" w14:textId="77777777" w:rsidR="00CC0358" w:rsidRDefault="00CC03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580FC" w14:textId="079B1B32" w:rsidR="008403EC" w:rsidRDefault="00B01F9C">
    <w:pPr>
      <w:pStyle w:val="En-tte"/>
    </w:pPr>
    <w:r w:rsidRPr="0093397A">
      <w:rPr>
        <w:noProof/>
        <w:sz w:val="48"/>
        <w:lang w:eastAsia="fr-CA"/>
      </w:rPr>
      <w:drawing>
        <wp:anchor distT="0" distB="0" distL="114300" distR="114300" simplePos="0" relativeHeight="251680768" behindDoc="0" locked="0" layoutInCell="1" allowOverlap="1" wp14:anchorId="22C02905" wp14:editId="78392399">
          <wp:simplePos x="0" y="0"/>
          <wp:positionH relativeFrom="column">
            <wp:posOffset>5060034</wp:posOffset>
          </wp:positionH>
          <wp:positionV relativeFrom="page">
            <wp:posOffset>9377916</wp:posOffset>
          </wp:positionV>
          <wp:extent cx="1464310" cy="283210"/>
          <wp:effectExtent l="0" t="0" r="2540" b="2540"/>
          <wp:wrapNone/>
          <wp:docPr id="32" name="Image 32" descr="Logo du 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Bipr.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4310" cy="28321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9744" behindDoc="1" locked="0" layoutInCell="1" allowOverlap="1" wp14:anchorId="2C601BDA" wp14:editId="2C24A9A5">
          <wp:simplePos x="0" y="0"/>
          <wp:positionH relativeFrom="page">
            <wp:align>center</wp:align>
          </wp:positionH>
          <wp:positionV relativeFrom="page">
            <wp:align>center</wp:align>
          </wp:positionV>
          <wp:extent cx="7772400" cy="10058400"/>
          <wp:effectExtent l="0" t="0" r="0" b="0"/>
          <wp:wrapNone/>
          <wp:docPr id="33" name="Image 33" desc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court-01.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69" type="#_x0000_t75" style="width:85.6pt;height:85.6pt" o:bullet="t">
        <v:imagedata r:id="rId1" o:title="puces_texte01"/>
      </v:shape>
    </w:pict>
  </w:numPicBullet>
  <w:numPicBullet w:numPicBulletId="1">
    <w:pict>
      <v:shape id="_x0000_i3070" type="#_x0000_t75" style="width:56.15pt;height:51pt" o:bullet="t">
        <v:imagedata r:id="rId2" o:title="puces_vertes-02"/>
      </v:shape>
    </w:pict>
  </w:numPicBullet>
  <w:numPicBullet w:numPicBulletId="2">
    <w:pict>
      <v:shape id="_x0000_i3071" type="#_x0000_t75" style="width:30.05pt;height:51.6pt" o:bullet="t">
        <v:imagedata r:id="rId3" o:title="puces_vertes-03"/>
      </v:shape>
    </w:pict>
  </w:numPicBullet>
  <w:numPicBullet w:numPicBulletId="3">
    <w:pict>
      <v:shape id="_x0000_i3072" type="#_x0000_t75" style="width:47.05pt;height:44.2pt" o:bullet="t">
        <v:imagedata r:id="rId4" o:title="puces_vertes-04"/>
      </v:shape>
    </w:pict>
  </w:numPicBullet>
  <w:numPicBullet w:numPicBulletId="4">
    <w:pict>
      <v:shape id="_x0000_i3073" type="#_x0000_t75" style="width:55pt;height:55pt" o:bullet="t">
        <v:imagedata r:id="rId5" o:title="puces_texte02"/>
      </v:shape>
    </w:pict>
  </w:numPicBullet>
  <w:numPicBullet w:numPicBulletId="5">
    <w:pict>
      <v:shape id="_x0000_i3074" type="#_x0000_t75" style="width:56.15pt;height:50.45pt" o:bullet="t">
        <v:imagedata r:id="rId6" o:title="puces_tableau"/>
      </v:shape>
    </w:pict>
  </w:numPicBullet>
  <w:numPicBullet w:numPicBulletId="6">
    <w:pict>
      <v:shape id="_x0000_i3075" type="#_x0000_t75" style="width:53.3pt;height:53.3pt" o:bullet="t">
        <v:imagedata r:id="rId7" o:title="puces_texte03"/>
      </v:shape>
    </w:pict>
  </w:numPicBullet>
  <w:numPicBullet w:numPicBulletId="7">
    <w:pict>
      <v:shape id="_x0000_i3076" type="#_x0000_t75" style="width:53.3pt;height:53.3pt" o:bullet="t">
        <v:imagedata r:id="rId8" o:title="puces_texte03_v2encadre"/>
      </v:shape>
    </w:pict>
  </w:numPicBullet>
  <w:numPicBullet w:numPicBulletId="8">
    <w:pict>
      <v:shape id="_x0000_i3077" type="#_x0000_t75" style="width:63.5pt;height:62.95pt" o:bullet="t">
        <v:imagedata r:id="rId9" o:title="puces_texte02"/>
      </v:shape>
    </w:pict>
  </w:numPicBullet>
  <w:numPicBullet w:numPicBulletId="9">
    <w:pict>
      <v:shape id="_x0000_i3078" type="#_x0000_t75" style="width:101.5pt;height:99.8pt" o:bullet="t">
        <v:imagedata r:id="rId10" o:title="puces_texte01"/>
      </v:shape>
    </w:pict>
  </w:numPicBullet>
  <w:abstractNum w:abstractNumId="0" w15:restartNumberingAfterBreak="0">
    <w:nsid w:val="FFFFFF7C"/>
    <w:multiLevelType w:val="singleLevel"/>
    <w:tmpl w:val="4DE82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0A73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7C30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24EECC"/>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B2D66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E1C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8C3A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E814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A48C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AA06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5CF"/>
    <w:multiLevelType w:val="hybridMultilevel"/>
    <w:tmpl w:val="0010AAB6"/>
    <w:lvl w:ilvl="0" w:tplc="7D0A51B6">
      <w:start w:val="1"/>
      <w:numFmt w:val="bullet"/>
      <w:pStyle w:val="listepuce3"/>
      <w:lvlText w:val=""/>
      <w:lvlJc w:val="left"/>
      <w:pPr>
        <w:ind w:left="2262" w:hanging="360"/>
      </w:pPr>
      <w:rPr>
        <w:rFonts w:ascii="Symbol" w:hAnsi="Symbol" w:hint="default"/>
        <w:b w:val="0"/>
        <w:i w:val="0"/>
        <w:color w:val="7D8BAD"/>
        <w:position w:val="2"/>
        <w:sz w:val="24"/>
        <w:u w:color="7F7F7F"/>
      </w:rPr>
    </w:lvl>
    <w:lvl w:ilvl="1" w:tplc="DD102BE0" w:tentative="1">
      <w:start w:val="1"/>
      <w:numFmt w:val="bullet"/>
      <w:lvlText w:val="o"/>
      <w:lvlJc w:val="left"/>
      <w:pPr>
        <w:ind w:left="1758" w:hanging="360"/>
      </w:pPr>
      <w:rPr>
        <w:rFonts w:ascii="Courier New" w:hAnsi="Courier New" w:cs="Courier New" w:hint="default"/>
      </w:rPr>
    </w:lvl>
    <w:lvl w:ilvl="2" w:tplc="8B2EE26E" w:tentative="1">
      <w:start w:val="1"/>
      <w:numFmt w:val="bullet"/>
      <w:lvlText w:val=""/>
      <w:lvlJc w:val="left"/>
      <w:pPr>
        <w:ind w:left="2478" w:hanging="360"/>
      </w:pPr>
      <w:rPr>
        <w:rFonts w:ascii="Wingdings" w:hAnsi="Wingdings" w:hint="default"/>
      </w:rPr>
    </w:lvl>
    <w:lvl w:ilvl="3" w:tplc="5290C158" w:tentative="1">
      <w:start w:val="1"/>
      <w:numFmt w:val="bullet"/>
      <w:lvlText w:val=""/>
      <w:lvlJc w:val="left"/>
      <w:pPr>
        <w:ind w:left="3198" w:hanging="360"/>
      </w:pPr>
      <w:rPr>
        <w:rFonts w:ascii="Symbol" w:hAnsi="Symbol" w:hint="default"/>
      </w:rPr>
    </w:lvl>
    <w:lvl w:ilvl="4" w:tplc="D8C21F6A" w:tentative="1">
      <w:start w:val="1"/>
      <w:numFmt w:val="bullet"/>
      <w:lvlText w:val="o"/>
      <w:lvlJc w:val="left"/>
      <w:pPr>
        <w:ind w:left="3918" w:hanging="360"/>
      </w:pPr>
      <w:rPr>
        <w:rFonts w:ascii="Courier New" w:hAnsi="Courier New" w:cs="Courier New" w:hint="default"/>
      </w:rPr>
    </w:lvl>
    <w:lvl w:ilvl="5" w:tplc="662E76EC" w:tentative="1">
      <w:start w:val="1"/>
      <w:numFmt w:val="bullet"/>
      <w:lvlText w:val=""/>
      <w:lvlJc w:val="left"/>
      <w:pPr>
        <w:ind w:left="4638" w:hanging="360"/>
      </w:pPr>
      <w:rPr>
        <w:rFonts w:ascii="Wingdings" w:hAnsi="Wingdings" w:hint="default"/>
      </w:rPr>
    </w:lvl>
    <w:lvl w:ilvl="6" w:tplc="9EA46796" w:tentative="1">
      <w:start w:val="1"/>
      <w:numFmt w:val="bullet"/>
      <w:lvlText w:val=""/>
      <w:lvlJc w:val="left"/>
      <w:pPr>
        <w:ind w:left="5358" w:hanging="360"/>
      </w:pPr>
      <w:rPr>
        <w:rFonts w:ascii="Symbol" w:hAnsi="Symbol" w:hint="default"/>
      </w:rPr>
    </w:lvl>
    <w:lvl w:ilvl="7" w:tplc="43A462FE" w:tentative="1">
      <w:start w:val="1"/>
      <w:numFmt w:val="bullet"/>
      <w:lvlText w:val="o"/>
      <w:lvlJc w:val="left"/>
      <w:pPr>
        <w:ind w:left="6078" w:hanging="360"/>
      </w:pPr>
      <w:rPr>
        <w:rFonts w:ascii="Courier New" w:hAnsi="Courier New" w:cs="Courier New" w:hint="default"/>
      </w:rPr>
    </w:lvl>
    <w:lvl w:ilvl="8" w:tplc="3A10D21E" w:tentative="1">
      <w:start w:val="1"/>
      <w:numFmt w:val="bullet"/>
      <w:lvlText w:val=""/>
      <w:lvlJc w:val="left"/>
      <w:pPr>
        <w:ind w:left="6798" w:hanging="360"/>
      </w:pPr>
      <w:rPr>
        <w:rFonts w:ascii="Wingdings" w:hAnsi="Wingdings" w:hint="default"/>
      </w:rPr>
    </w:lvl>
  </w:abstractNum>
  <w:abstractNum w:abstractNumId="11" w15:restartNumberingAfterBreak="0">
    <w:nsid w:val="03005208"/>
    <w:multiLevelType w:val="multilevel"/>
    <w:tmpl w:val="5840E3B0"/>
    <w:name w:val="Liste numérotée (texte)"/>
    <w:lvl w:ilvl="0">
      <w:start w:val="1"/>
      <w:numFmt w:val="decimal"/>
      <w:pStyle w:val="listenum1"/>
      <w:lvlText w:val="%1."/>
      <w:lvlJc w:val="left"/>
      <w:pPr>
        <w:ind w:left="319" w:hanging="274"/>
      </w:pPr>
      <w:rPr>
        <w:rFonts w:hint="default"/>
        <w:b/>
        <w:i w:val="0"/>
      </w:rPr>
    </w:lvl>
    <w:lvl w:ilvl="1">
      <w:start w:val="1"/>
      <w:numFmt w:val="decimal"/>
      <w:pStyle w:val="listenum2"/>
      <w:lvlText w:val="%1.%2"/>
      <w:lvlJc w:val="left"/>
      <w:pPr>
        <w:ind w:left="765" w:hanging="446"/>
      </w:pPr>
      <w:rPr>
        <w:rFonts w:hint="default"/>
        <w:b/>
        <w:i w:val="0"/>
      </w:rPr>
    </w:lvl>
    <w:lvl w:ilvl="2">
      <w:start w:val="1"/>
      <w:numFmt w:val="decimal"/>
      <w:pStyle w:val="listenum3"/>
      <w:lvlText w:val="%1.%2.%3"/>
      <w:lvlJc w:val="left"/>
      <w:pPr>
        <w:ind w:left="1370" w:hanging="605"/>
      </w:pPr>
      <w:rPr>
        <w:rFonts w:hint="default"/>
        <w:b/>
        <w:i w:val="0"/>
      </w:rPr>
    </w:lvl>
    <w:lvl w:ilvl="3">
      <w:start w:val="1"/>
      <w:numFmt w:val="decimal"/>
      <w:pStyle w:val="listenum4"/>
      <w:lvlText w:val="%1.%2.%3.%4"/>
      <w:lvlJc w:val="left"/>
      <w:pPr>
        <w:ind w:left="2147" w:hanging="777"/>
      </w:pPr>
      <w:rPr>
        <w:rFonts w:hint="default"/>
        <w:b/>
        <w:i w:val="0"/>
      </w:rPr>
    </w:lvl>
    <w:lvl w:ilvl="4">
      <w:start w:val="1"/>
      <w:numFmt w:val="decimal"/>
      <w:lvlText w:val="%1.%2.%3.%4.%5"/>
      <w:lvlJc w:val="left"/>
      <w:pPr>
        <w:ind w:left="2277" w:hanging="792"/>
      </w:pPr>
      <w:rPr>
        <w:rFonts w:hint="default"/>
      </w:rPr>
    </w:lvl>
    <w:lvl w:ilvl="5">
      <w:start w:val="1"/>
      <w:numFmt w:val="decimal"/>
      <w:lvlText w:val="%1.%2.%3.%4.%5.%6"/>
      <w:lvlJc w:val="left"/>
      <w:pPr>
        <w:ind w:left="2781" w:hanging="936"/>
      </w:pPr>
      <w:rPr>
        <w:rFonts w:hint="default"/>
      </w:rPr>
    </w:lvl>
    <w:lvl w:ilvl="6">
      <w:start w:val="1"/>
      <w:numFmt w:val="decimal"/>
      <w:lvlText w:val="%1.%2.%3.%4.%5.%6.%7"/>
      <w:lvlJc w:val="left"/>
      <w:pPr>
        <w:ind w:left="3285" w:hanging="1080"/>
      </w:pPr>
      <w:rPr>
        <w:rFonts w:hint="default"/>
      </w:rPr>
    </w:lvl>
    <w:lvl w:ilvl="7">
      <w:start w:val="1"/>
      <w:numFmt w:val="decimal"/>
      <w:lvlText w:val="%1.%2.%3.%4.%5.%6.%7.%8"/>
      <w:lvlJc w:val="left"/>
      <w:pPr>
        <w:ind w:left="3789" w:hanging="1224"/>
      </w:pPr>
      <w:rPr>
        <w:rFonts w:hint="default"/>
      </w:rPr>
    </w:lvl>
    <w:lvl w:ilvl="8">
      <w:start w:val="1"/>
      <w:numFmt w:val="decimal"/>
      <w:lvlText w:val="%1.%2.%3.%4.%5.%6.%7.%8.%9"/>
      <w:lvlJc w:val="left"/>
      <w:pPr>
        <w:ind w:left="4365" w:hanging="1440"/>
      </w:pPr>
      <w:rPr>
        <w:rFonts w:hint="default"/>
      </w:rPr>
    </w:lvl>
  </w:abstractNum>
  <w:abstractNum w:abstractNumId="12" w15:restartNumberingAfterBreak="0">
    <w:nsid w:val="071D15DF"/>
    <w:multiLevelType w:val="hybridMultilevel"/>
    <w:tmpl w:val="C2DE5012"/>
    <w:lvl w:ilvl="0" w:tplc="433CB1E8">
      <w:start w:val="3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85F43AD"/>
    <w:multiLevelType w:val="hybridMultilevel"/>
    <w:tmpl w:val="8AA440CE"/>
    <w:lvl w:ilvl="0" w:tplc="69B6D6F4">
      <w:start w:val="1"/>
      <w:numFmt w:val="bullet"/>
      <w:pStyle w:val="listepuce4"/>
      <w:lvlText w:val=""/>
      <w:lvlPicBulletId w:val="6"/>
      <w:lvlJc w:val="left"/>
      <w:pPr>
        <w:ind w:left="2765" w:hanging="360"/>
      </w:pPr>
      <w:rPr>
        <w:rFonts w:ascii="Symbol" w:hAnsi="Symbol" w:hint="default"/>
        <w:color w:val="auto"/>
      </w:rPr>
    </w:lvl>
    <w:lvl w:ilvl="1" w:tplc="D3FAB04C" w:tentative="1">
      <w:start w:val="1"/>
      <w:numFmt w:val="bullet"/>
      <w:lvlText w:val="o"/>
      <w:lvlJc w:val="left"/>
      <w:pPr>
        <w:ind w:left="2534" w:hanging="360"/>
      </w:pPr>
      <w:rPr>
        <w:rFonts w:ascii="Courier New" w:hAnsi="Courier New" w:cs="Courier New" w:hint="default"/>
      </w:rPr>
    </w:lvl>
    <w:lvl w:ilvl="2" w:tplc="FA8C8B94" w:tentative="1">
      <w:start w:val="1"/>
      <w:numFmt w:val="bullet"/>
      <w:lvlText w:val=""/>
      <w:lvlJc w:val="left"/>
      <w:pPr>
        <w:ind w:left="3254" w:hanging="360"/>
      </w:pPr>
      <w:rPr>
        <w:rFonts w:ascii="Wingdings" w:hAnsi="Wingdings" w:hint="default"/>
      </w:rPr>
    </w:lvl>
    <w:lvl w:ilvl="3" w:tplc="2EC00280" w:tentative="1">
      <w:start w:val="1"/>
      <w:numFmt w:val="bullet"/>
      <w:lvlText w:val=""/>
      <w:lvlJc w:val="left"/>
      <w:pPr>
        <w:ind w:left="3974" w:hanging="360"/>
      </w:pPr>
      <w:rPr>
        <w:rFonts w:ascii="Symbol" w:hAnsi="Symbol" w:hint="default"/>
      </w:rPr>
    </w:lvl>
    <w:lvl w:ilvl="4" w:tplc="54C46B5E" w:tentative="1">
      <w:start w:val="1"/>
      <w:numFmt w:val="bullet"/>
      <w:lvlText w:val="o"/>
      <w:lvlJc w:val="left"/>
      <w:pPr>
        <w:ind w:left="4694" w:hanging="360"/>
      </w:pPr>
      <w:rPr>
        <w:rFonts w:ascii="Courier New" w:hAnsi="Courier New" w:cs="Courier New" w:hint="default"/>
      </w:rPr>
    </w:lvl>
    <w:lvl w:ilvl="5" w:tplc="60480578" w:tentative="1">
      <w:start w:val="1"/>
      <w:numFmt w:val="bullet"/>
      <w:lvlText w:val=""/>
      <w:lvlJc w:val="left"/>
      <w:pPr>
        <w:ind w:left="5414" w:hanging="360"/>
      </w:pPr>
      <w:rPr>
        <w:rFonts w:ascii="Wingdings" w:hAnsi="Wingdings" w:hint="default"/>
      </w:rPr>
    </w:lvl>
    <w:lvl w:ilvl="6" w:tplc="052A8D2A" w:tentative="1">
      <w:start w:val="1"/>
      <w:numFmt w:val="bullet"/>
      <w:lvlText w:val=""/>
      <w:lvlJc w:val="left"/>
      <w:pPr>
        <w:ind w:left="6134" w:hanging="360"/>
      </w:pPr>
      <w:rPr>
        <w:rFonts w:ascii="Symbol" w:hAnsi="Symbol" w:hint="default"/>
      </w:rPr>
    </w:lvl>
    <w:lvl w:ilvl="7" w:tplc="10B404C2" w:tentative="1">
      <w:start w:val="1"/>
      <w:numFmt w:val="bullet"/>
      <w:lvlText w:val="o"/>
      <w:lvlJc w:val="left"/>
      <w:pPr>
        <w:ind w:left="6854" w:hanging="360"/>
      </w:pPr>
      <w:rPr>
        <w:rFonts w:ascii="Courier New" w:hAnsi="Courier New" w:cs="Courier New" w:hint="default"/>
      </w:rPr>
    </w:lvl>
    <w:lvl w:ilvl="8" w:tplc="CEF06D12" w:tentative="1">
      <w:start w:val="1"/>
      <w:numFmt w:val="bullet"/>
      <w:lvlText w:val=""/>
      <w:lvlJc w:val="left"/>
      <w:pPr>
        <w:ind w:left="7574" w:hanging="360"/>
      </w:pPr>
      <w:rPr>
        <w:rFonts w:ascii="Wingdings" w:hAnsi="Wingdings" w:hint="default"/>
      </w:rPr>
    </w:lvl>
  </w:abstractNum>
  <w:abstractNum w:abstractNumId="14" w15:restartNumberingAfterBreak="0">
    <w:nsid w:val="09094369"/>
    <w:multiLevelType w:val="hybridMultilevel"/>
    <w:tmpl w:val="1CA2BC80"/>
    <w:lvl w:ilvl="0" w:tplc="15C8E494">
      <w:start w:val="1"/>
      <w:numFmt w:val="bullet"/>
      <w:pStyle w:val="tableaupuce1"/>
      <w:lvlText w:val=""/>
      <w:lvlJc w:val="left"/>
      <w:pPr>
        <w:ind w:left="360" w:hanging="360"/>
      </w:pPr>
      <w:rPr>
        <w:rFonts w:ascii="Symbol" w:hAnsi="Symbol" w:hint="default"/>
        <w:b w:val="0"/>
        <w:i w:val="0"/>
        <w:color w:val="405869"/>
        <w:position w:val="2"/>
        <w:sz w:val="24"/>
        <w:u w:color="7F7F7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C244E86"/>
    <w:multiLevelType w:val="hybridMultilevel"/>
    <w:tmpl w:val="D430C516"/>
    <w:lvl w:ilvl="0" w:tplc="7C20787E">
      <w:start w:val="1"/>
      <w:numFmt w:val="bullet"/>
      <w:pStyle w:val="encadregrandpuce3"/>
      <w:lvlText w:val=""/>
      <w:lvlJc w:val="left"/>
      <w:pPr>
        <w:ind w:left="2938" w:hanging="360"/>
      </w:pPr>
      <w:rPr>
        <w:rFonts w:ascii="Symbol" w:hAnsi="Symbol" w:hint="default"/>
        <w:b w:val="0"/>
        <w:i w:val="0"/>
        <w:color w:val="7D8BAD"/>
        <w:position w:val="2"/>
        <w:sz w:val="24"/>
        <w:u w:color="7F7F7F"/>
      </w:rPr>
    </w:lvl>
    <w:lvl w:ilvl="1" w:tplc="0C0C0003" w:tentative="1">
      <w:start w:val="1"/>
      <w:numFmt w:val="bullet"/>
      <w:lvlText w:val="o"/>
      <w:lvlJc w:val="left"/>
      <w:pPr>
        <w:ind w:left="3658" w:hanging="360"/>
      </w:pPr>
      <w:rPr>
        <w:rFonts w:ascii="Courier New" w:hAnsi="Courier New" w:cs="Courier New" w:hint="default"/>
      </w:rPr>
    </w:lvl>
    <w:lvl w:ilvl="2" w:tplc="0C0C0005" w:tentative="1">
      <w:start w:val="1"/>
      <w:numFmt w:val="bullet"/>
      <w:lvlText w:val=""/>
      <w:lvlJc w:val="left"/>
      <w:pPr>
        <w:ind w:left="4378" w:hanging="360"/>
      </w:pPr>
      <w:rPr>
        <w:rFonts w:ascii="Wingdings" w:hAnsi="Wingdings" w:hint="default"/>
      </w:rPr>
    </w:lvl>
    <w:lvl w:ilvl="3" w:tplc="0C0C0001" w:tentative="1">
      <w:start w:val="1"/>
      <w:numFmt w:val="bullet"/>
      <w:lvlText w:val=""/>
      <w:lvlJc w:val="left"/>
      <w:pPr>
        <w:ind w:left="5098" w:hanging="360"/>
      </w:pPr>
      <w:rPr>
        <w:rFonts w:ascii="Symbol" w:hAnsi="Symbol" w:hint="default"/>
      </w:rPr>
    </w:lvl>
    <w:lvl w:ilvl="4" w:tplc="0C0C0003" w:tentative="1">
      <w:start w:val="1"/>
      <w:numFmt w:val="bullet"/>
      <w:lvlText w:val="o"/>
      <w:lvlJc w:val="left"/>
      <w:pPr>
        <w:ind w:left="5818" w:hanging="360"/>
      </w:pPr>
      <w:rPr>
        <w:rFonts w:ascii="Courier New" w:hAnsi="Courier New" w:cs="Courier New" w:hint="default"/>
      </w:rPr>
    </w:lvl>
    <w:lvl w:ilvl="5" w:tplc="0C0C0005" w:tentative="1">
      <w:start w:val="1"/>
      <w:numFmt w:val="bullet"/>
      <w:lvlText w:val=""/>
      <w:lvlJc w:val="left"/>
      <w:pPr>
        <w:ind w:left="6538" w:hanging="360"/>
      </w:pPr>
      <w:rPr>
        <w:rFonts w:ascii="Wingdings" w:hAnsi="Wingdings" w:hint="default"/>
      </w:rPr>
    </w:lvl>
    <w:lvl w:ilvl="6" w:tplc="0C0C0001" w:tentative="1">
      <w:start w:val="1"/>
      <w:numFmt w:val="bullet"/>
      <w:lvlText w:val=""/>
      <w:lvlJc w:val="left"/>
      <w:pPr>
        <w:ind w:left="7258" w:hanging="360"/>
      </w:pPr>
      <w:rPr>
        <w:rFonts w:ascii="Symbol" w:hAnsi="Symbol" w:hint="default"/>
      </w:rPr>
    </w:lvl>
    <w:lvl w:ilvl="7" w:tplc="0C0C0003" w:tentative="1">
      <w:start w:val="1"/>
      <w:numFmt w:val="bullet"/>
      <w:lvlText w:val="o"/>
      <w:lvlJc w:val="left"/>
      <w:pPr>
        <w:ind w:left="7978" w:hanging="360"/>
      </w:pPr>
      <w:rPr>
        <w:rFonts w:ascii="Courier New" w:hAnsi="Courier New" w:cs="Courier New" w:hint="default"/>
      </w:rPr>
    </w:lvl>
    <w:lvl w:ilvl="8" w:tplc="0C0C0005" w:tentative="1">
      <w:start w:val="1"/>
      <w:numFmt w:val="bullet"/>
      <w:lvlText w:val=""/>
      <w:lvlJc w:val="left"/>
      <w:pPr>
        <w:ind w:left="8698" w:hanging="360"/>
      </w:pPr>
      <w:rPr>
        <w:rFonts w:ascii="Wingdings" w:hAnsi="Wingdings" w:hint="default"/>
      </w:rPr>
    </w:lvl>
  </w:abstractNum>
  <w:abstractNum w:abstractNumId="16" w15:restartNumberingAfterBreak="0">
    <w:nsid w:val="2BC71B48"/>
    <w:multiLevelType w:val="hybridMultilevel"/>
    <w:tmpl w:val="99A6EDE0"/>
    <w:lvl w:ilvl="0" w:tplc="B2F6002C">
      <w:start w:val="1"/>
      <w:numFmt w:val="upperLetter"/>
      <w:lvlText w:val="%1)"/>
      <w:lvlJc w:val="left"/>
      <w:pPr>
        <w:ind w:left="720" w:hanging="360"/>
      </w:pPr>
      <w:rPr>
        <w:rFonts w:hint="default"/>
      </w:rPr>
    </w:lvl>
    <w:lvl w:ilvl="1" w:tplc="9CC0DD98">
      <w:start w:val="1"/>
      <w:numFmt w:val="low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C296F63"/>
    <w:multiLevelType w:val="hybridMultilevel"/>
    <w:tmpl w:val="39026032"/>
    <w:lvl w:ilvl="0" w:tplc="E4149740">
      <w:start w:val="1"/>
      <w:numFmt w:val="bullet"/>
      <w:lvlText w:val=""/>
      <w:lvlPicBulletId w:val="4"/>
      <w:lvlJc w:val="left"/>
      <w:pPr>
        <w:ind w:left="1037" w:hanging="360"/>
      </w:pPr>
      <w:rPr>
        <w:rFonts w:ascii="Symbol" w:hAnsi="Symbol" w:hint="default"/>
        <w:b w:val="0"/>
        <w:i w:val="0"/>
        <w:color w:val="auto"/>
        <w:position w:val="2"/>
        <w:sz w:val="22"/>
        <w:u w:color="7F7F7F"/>
      </w:rPr>
    </w:lvl>
    <w:lvl w:ilvl="1" w:tplc="0C0C0003" w:tentative="1">
      <w:start w:val="1"/>
      <w:numFmt w:val="bullet"/>
      <w:lvlText w:val="o"/>
      <w:lvlJc w:val="left"/>
      <w:pPr>
        <w:ind w:left="2117" w:hanging="360"/>
      </w:pPr>
      <w:rPr>
        <w:rFonts w:ascii="Courier New" w:hAnsi="Courier New" w:cs="Courier New" w:hint="default"/>
      </w:rPr>
    </w:lvl>
    <w:lvl w:ilvl="2" w:tplc="0C0C0005" w:tentative="1">
      <w:start w:val="1"/>
      <w:numFmt w:val="bullet"/>
      <w:lvlText w:val=""/>
      <w:lvlJc w:val="left"/>
      <w:pPr>
        <w:ind w:left="2837" w:hanging="360"/>
      </w:pPr>
      <w:rPr>
        <w:rFonts w:ascii="Wingdings" w:hAnsi="Wingdings" w:hint="default"/>
      </w:rPr>
    </w:lvl>
    <w:lvl w:ilvl="3" w:tplc="0C0C0001" w:tentative="1">
      <w:start w:val="1"/>
      <w:numFmt w:val="bullet"/>
      <w:lvlText w:val=""/>
      <w:lvlJc w:val="left"/>
      <w:pPr>
        <w:ind w:left="3557" w:hanging="360"/>
      </w:pPr>
      <w:rPr>
        <w:rFonts w:ascii="Symbol" w:hAnsi="Symbol" w:hint="default"/>
      </w:rPr>
    </w:lvl>
    <w:lvl w:ilvl="4" w:tplc="0C0C0003" w:tentative="1">
      <w:start w:val="1"/>
      <w:numFmt w:val="bullet"/>
      <w:lvlText w:val="o"/>
      <w:lvlJc w:val="left"/>
      <w:pPr>
        <w:ind w:left="4277" w:hanging="360"/>
      </w:pPr>
      <w:rPr>
        <w:rFonts w:ascii="Courier New" w:hAnsi="Courier New" w:cs="Courier New" w:hint="default"/>
      </w:rPr>
    </w:lvl>
    <w:lvl w:ilvl="5" w:tplc="0C0C0005" w:tentative="1">
      <w:start w:val="1"/>
      <w:numFmt w:val="bullet"/>
      <w:lvlText w:val=""/>
      <w:lvlJc w:val="left"/>
      <w:pPr>
        <w:ind w:left="4997" w:hanging="360"/>
      </w:pPr>
      <w:rPr>
        <w:rFonts w:ascii="Wingdings" w:hAnsi="Wingdings" w:hint="default"/>
      </w:rPr>
    </w:lvl>
    <w:lvl w:ilvl="6" w:tplc="0C0C0001" w:tentative="1">
      <w:start w:val="1"/>
      <w:numFmt w:val="bullet"/>
      <w:lvlText w:val=""/>
      <w:lvlJc w:val="left"/>
      <w:pPr>
        <w:ind w:left="5717" w:hanging="360"/>
      </w:pPr>
      <w:rPr>
        <w:rFonts w:ascii="Symbol" w:hAnsi="Symbol" w:hint="default"/>
      </w:rPr>
    </w:lvl>
    <w:lvl w:ilvl="7" w:tplc="0C0C0003" w:tentative="1">
      <w:start w:val="1"/>
      <w:numFmt w:val="bullet"/>
      <w:lvlText w:val="o"/>
      <w:lvlJc w:val="left"/>
      <w:pPr>
        <w:ind w:left="6437" w:hanging="360"/>
      </w:pPr>
      <w:rPr>
        <w:rFonts w:ascii="Courier New" w:hAnsi="Courier New" w:cs="Courier New" w:hint="default"/>
      </w:rPr>
    </w:lvl>
    <w:lvl w:ilvl="8" w:tplc="0C0C0005" w:tentative="1">
      <w:start w:val="1"/>
      <w:numFmt w:val="bullet"/>
      <w:lvlText w:val=""/>
      <w:lvlJc w:val="left"/>
      <w:pPr>
        <w:ind w:left="7157" w:hanging="360"/>
      </w:pPr>
      <w:rPr>
        <w:rFonts w:ascii="Wingdings" w:hAnsi="Wingdings" w:hint="default"/>
      </w:rPr>
    </w:lvl>
  </w:abstractNum>
  <w:abstractNum w:abstractNumId="18" w15:restartNumberingAfterBreak="0">
    <w:nsid w:val="34F0262D"/>
    <w:multiLevelType w:val="hybridMultilevel"/>
    <w:tmpl w:val="1A467252"/>
    <w:lvl w:ilvl="0" w:tplc="18E8EBB2">
      <w:start w:val="1"/>
      <w:numFmt w:val="bullet"/>
      <w:pStyle w:val="encadregrandpuce2"/>
      <w:lvlText w:val=""/>
      <w:lvlPicBulletId w:val="8"/>
      <w:lvlJc w:val="left"/>
      <w:pPr>
        <w:ind w:left="1037" w:hanging="360"/>
      </w:pPr>
      <w:rPr>
        <w:rFonts w:ascii="Symbol" w:hAnsi="Symbol" w:hint="default"/>
        <w:b w:val="0"/>
        <w:i w:val="0"/>
        <w:color w:val="auto"/>
        <w:position w:val="2"/>
        <w:sz w:val="22"/>
        <w:u w:color="7F7F7F"/>
      </w:rPr>
    </w:lvl>
    <w:lvl w:ilvl="1" w:tplc="0C0C0003" w:tentative="1">
      <w:start w:val="1"/>
      <w:numFmt w:val="bullet"/>
      <w:lvlText w:val="o"/>
      <w:lvlJc w:val="left"/>
      <w:pPr>
        <w:ind w:left="2823" w:hanging="360"/>
      </w:pPr>
      <w:rPr>
        <w:rFonts w:ascii="Courier New" w:hAnsi="Courier New" w:cs="Courier New" w:hint="default"/>
      </w:rPr>
    </w:lvl>
    <w:lvl w:ilvl="2" w:tplc="0C0C0005" w:tentative="1">
      <w:start w:val="1"/>
      <w:numFmt w:val="bullet"/>
      <w:lvlText w:val=""/>
      <w:lvlJc w:val="left"/>
      <w:pPr>
        <w:ind w:left="3543" w:hanging="360"/>
      </w:pPr>
      <w:rPr>
        <w:rFonts w:ascii="Wingdings" w:hAnsi="Wingdings" w:hint="default"/>
      </w:rPr>
    </w:lvl>
    <w:lvl w:ilvl="3" w:tplc="0C0C0001" w:tentative="1">
      <w:start w:val="1"/>
      <w:numFmt w:val="bullet"/>
      <w:lvlText w:val=""/>
      <w:lvlJc w:val="left"/>
      <w:pPr>
        <w:ind w:left="4263" w:hanging="360"/>
      </w:pPr>
      <w:rPr>
        <w:rFonts w:ascii="Symbol" w:hAnsi="Symbol" w:hint="default"/>
      </w:rPr>
    </w:lvl>
    <w:lvl w:ilvl="4" w:tplc="0C0C0003" w:tentative="1">
      <w:start w:val="1"/>
      <w:numFmt w:val="bullet"/>
      <w:lvlText w:val="o"/>
      <w:lvlJc w:val="left"/>
      <w:pPr>
        <w:ind w:left="4983" w:hanging="360"/>
      </w:pPr>
      <w:rPr>
        <w:rFonts w:ascii="Courier New" w:hAnsi="Courier New" w:cs="Courier New" w:hint="default"/>
      </w:rPr>
    </w:lvl>
    <w:lvl w:ilvl="5" w:tplc="0C0C0005" w:tentative="1">
      <w:start w:val="1"/>
      <w:numFmt w:val="bullet"/>
      <w:lvlText w:val=""/>
      <w:lvlJc w:val="left"/>
      <w:pPr>
        <w:ind w:left="5703" w:hanging="360"/>
      </w:pPr>
      <w:rPr>
        <w:rFonts w:ascii="Wingdings" w:hAnsi="Wingdings" w:hint="default"/>
      </w:rPr>
    </w:lvl>
    <w:lvl w:ilvl="6" w:tplc="0C0C0001" w:tentative="1">
      <w:start w:val="1"/>
      <w:numFmt w:val="bullet"/>
      <w:lvlText w:val=""/>
      <w:lvlJc w:val="left"/>
      <w:pPr>
        <w:ind w:left="6423" w:hanging="360"/>
      </w:pPr>
      <w:rPr>
        <w:rFonts w:ascii="Symbol" w:hAnsi="Symbol" w:hint="default"/>
      </w:rPr>
    </w:lvl>
    <w:lvl w:ilvl="7" w:tplc="0C0C0003" w:tentative="1">
      <w:start w:val="1"/>
      <w:numFmt w:val="bullet"/>
      <w:lvlText w:val="o"/>
      <w:lvlJc w:val="left"/>
      <w:pPr>
        <w:ind w:left="7143" w:hanging="360"/>
      </w:pPr>
      <w:rPr>
        <w:rFonts w:ascii="Courier New" w:hAnsi="Courier New" w:cs="Courier New" w:hint="default"/>
      </w:rPr>
    </w:lvl>
    <w:lvl w:ilvl="8" w:tplc="0C0C0005" w:tentative="1">
      <w:start w:val="1"/>
      <w:numFmt w:val="bullet"/>
      <w:lvlText w:val=""/>
      <w:lvlJc w:val="left"/>
      <w:pPr>
        <w:ind w:left="7863" w:hanging="360"/>
      </w:pPr>
      <w:rPr>
        <w:rFonts w:ascii="Wingdings" w:hAnsi="Wingdings" w:hint="default"/>
      </w:rPr>
    </w:lvl>
  </w:abstractNum>
  <w:abstractNum w:abstractNumId="19" w15:restartNumberingAfterBreak="0">
    <w:nsid w:val="3586199F"/>
    <w:multiLevelType w:val="multilevel"/>
    <w:tmpl w:val="F86A8AF0"/>
    <w:name w:val="Liste numérotée (titres)"/>
    <w:lvl w:ilvl="0">
      <w:start w:val="1"/>
      <w:numFmt w:val="decimal"/>
      <w:pStyle w:val="Titre2numrot"/>
      <w:lvlText w:val="%1"/>
      <w:lvlJc w:val="left"/>
      <w:pPr>
        <w:ind w:left="1224" w:hanging="1224"/>
      </w:pPr>
      <w:rPr>
        <w:rFonts w:hint="default"/>
        <w:b/>
        <w:i w:val="0"/>
        <w:color w:val="0A5080"/>
        <w:sz w:val="72"/>
      </w:rPr>
    </w:lvl>
    <w:lvl w:ilvl="1">
      <w:start w:val="1"/>
      <w:numFmt w:val="decimal"/>
      <w:pStyle w:val="Titre3numrot"/>
      <w:lvlText w:val="%1.%2"/>
      <w:lvlJc w:val="left"/>
      <w:pPr>
        <w:ind w:left="1915" w:hanging="662"/>
      </w:pPr>
      <w:rPr>
        <w:rFonts w:hint="default"/>
      </w:rPr>
    </w:lvl>
    <w:lvl w:ilvl="2">
      <w:start w:val="1"/>
      <w:numFmt w:val="decimal"/>
      <w:pStyle w:val="Titre4numrot"/>
      <w:lvlText w:val="%1.%2.%3"/>
      <w:lvlJc w:val="left"/>
      <w:pPr>
        <w:ind w:left="2059" w:hanging="806"/>
      </w:pPr>
      <w:rPr>
        <w:rFonts w:hint="default"/>
      </w:rPr>
    </w:lvl>
    <w:lvl w:ilvl="3">
      <w:start w:val="1"/>
      <w:numFmt w:val="decimal"/>
      <w:pStyle w:val="Titre5numrot"/>
      <w:lvlText w:val="%1.%2.%3.%4"/>
      <w:lvlJc w:val="left"/>
      <w:pPr>
        <w:ind w:left="2146" w:hanging="89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503072"/>
    <w:multiLevelType w:val="hybridMultilevel"/>
    <w:tmpl w:val="00D08EEE"/>
    <w:lvl w:ilvl="0" w:tplc="CF660E06">
      <w:start w:val="1"/>
      <w:numFmt w:val="bullet"/>
      <w:pStyle w:val="encadregrandpuce4"/>
      <w:lvlText w:val=""/>
      <w:lvlPicBulletId w:val="7"/>
      <w:lvlJc w:val="left"/>
      <w:pPr>
        <w:ind w:left="1887" w:hanging="360"/>
      </w:pPr>
      <w:rPr>
        <w:rFonts w:ascii="Symbol" w:hAnsi="Symbol" w:hint="default"/>
        <w:color w:val="auto"/>
      </w:rPr>
    </w:lvl>
    <w:lvl w:ilvl="1" w:tplc="0C0C0003" w:tentative="1">
      <w:start w:val="1"/>
      <w:numFmt w:val="bullet"/>
      <w:lvlText w:val="o"/>
      <w:lvlJc w:val="left"/>
      <w:pPr>
        <w:ind w:left="3082" w:hanging="360"/>
      </w:pPr>
      <w:rPr>
        <w:rFonts w:ascii="Courier New" w:hAnsi="Courier New" w:cs="Courier New" w:hint="default"/>
      </w:rPr>
    </w:lvl>
    <w:lvl w:ilvl="2" w:tplc="0C0C0005" w:tentative="1">
      <w:start w:val="1"/>
      <w:numFmt w:val="bullet"/>
      <w:lvlText w:val=""/>
      <w:lvlJc w:val="left"/>
      <w:pPr>
        <w:ind w:left="3802" w:hanging="360"/>
      </w:pPr>
      <w:rPr>
        <w:rFonts w:ascii="Wingdings" w:hAnsi="Wingdings" w:hint="default"/>
      </w:rPr>
    </w:lvl>
    <w:lvl w:ilvl="3" w:tplc="0C0C0001" w:tentative="1">
      <w:start w:val="1"/>
      <w:numFmt w:val="bullet"/>
      <w:lvlText w:val=""/>
      <w:lvlJc w:val="left"/>
      <w:pPr>
        <w:ind w:left="4522" w:hanging="360"/>
      </w:pPr>
      <w:rPr>
        <w:rFonts w:ascii="Symbol" w:hAnsi="Symbol" w:hint="default"/>
      </w:rPr>
    </w:lvl>
    <w:lvl w:ilvl="4" w:tplc="0C0C0003" w:tentative="1">
      <w:start w:val="1"/>
      <w:numFmt w:val="bullet"/>
      <w:lvlText w:val="o"/>
      <w:lvlJc w:val="left"/>
      <w:pPr>
        <w:ind w:left="5242" w:hanging="360"/>
      </w:pPr>
      <w:rPr>
        <w:rFonts w:ascii="Courier New" w:hAnsi="Courier New" w:cs="Courier New" w:hint="default"/>
      </w:rPr>
    </w:lvl>
    <w:lvl w:ilvl="5" w:tplc="0C0C0005" w:tentative="1">
      <w:start w:val="1"/>
      <w:numFmt w:val="bullet"/>
      <w:lvlText w:val=""/>
      <w:lvlJc w:val="left"/>
      <w:pPr>
        <w:ind w:left="5962" w:hanging="360"/>
      </w:pPr>
      <w:rPr>
        <w:rFonts w:ascii="Wingdings" w:hAnsi="Wingdings" w:hint="default"/>
      </w:rPr>
    </w:lvl>
    <w:lvl w:ilvl="6" w:tplc="0C0C0001" w:tentative="1">
      <w:start w:val="1"/>
      <w:numFmt w:val="bullet"/>
      <w:lvlText w:val=""/>
      <w:lvlJc w:val="left"/>
      <w:pPr>
        <w:ind w:left="6682" w:hanging="360"/>
      </w:pPr>
      <w:rPr>
        <w:rFonts w:ascii="Symbol" w:hAnsi="Symbol" w:hint="default"/>
      </w:rPr>
    </w:lvl>
    <w:lvl w:ilvl="7" w:tplc="0C0C0003" w:tentative="1">
      <w:start w:val="1"/>
      <w:numFmt w:val="bullet"/>
      <w:lvlText w:val="o"/>
      <w:lvlJc w:val="left"/>
      <w:pPr>
        <w:ind w:left="7402" w:hanging="360"/>
      </w:pPr>
      <w:rPr>
        <w:rFonts w:ascii="Courier New" w:hAnsi="Courier New" w:cs="Courier New" w:hint="default"/>
      </w:rPr>
    </w:lvl>
    <w:lvl w:ilvl="8" w:tplc="0C0C0005" w:tentative="1">
      <w:start w:val="1"/>
      <w:numFmt w:val="bullet"/>
      <w:lvlText w:val=""/>
      <w:lvlJc w:val="left"/>
      <w:pPr>
        <w:ind w:left="8122" w:hanging="360"/>
      </w:pPr>
      <w:rPr>
        <w:rFonts w:ascii="Wingdings" w:hAnsi="Wingdings" w:hint="default"/>
      </w:rPr>
    </w:lvl>
  </w:abstractNum>
  <w:abstractNum w:abstractNumId="21" w15:restartNumberingAfterBreak="0">
    <w:nsid w:val="4C912C3F"/>
    <w:multiLevelType w:val="multilevel"/>
    <w:tmpl w:val="8670E4F4"/>
    <w:lvl w:ilvl="0">
      <w:start w:val="1"/>
      <w:numFmt w:val="bullet"/>
      <w:pStyle w:val="encadregrandpuce1"/>
      <w:lvlText w:val=""/>
      <w:lvlPicBulletId w:val="9"/>
      <w:lvlJc w:val="left"/>
      <w:pPr>
        <w:ind w:left="749" w:hanging="360"/>
      </w:pPr>
      <w:rPr>
        <w:rFonts w:ascii="Symbol" w:hAnsi="Symbol" w:hint="default"/>
        <w:b w:val="0"/>
        <w:i w:val="0"/>
        <w:color w:val="auto"/>
        <w:position w:val="2"/>
        <w:sz w:val="22"/>
        <w:u w:color="7F7F7F"/>
      </w:rPr>
    </w:lvl>
    <w:lvl w:ilvl="1">
      <w:start w:val="1"/>
      <w:numFmt w:val="bullet"/>
      <w:lvlText w:val=""/>
      <w:lvlPicBulletId w:val="1"/>
      <w:lvlJc w:val="left"/>
      <w:pPr>
        <w:ind w:left="86" w:firstLine="360"/>
      </w:pPr>
      <w:rPr>
        <w:rFonts w:ascii="Symbol" w:hAnsi="Symbol" w:hint="default"/>
        <w:color w:val="auto"/>
      </w:rPr>
    </w:lvl>
    <w:lvl w:ilvl="2">
      <w:start w:val="1"/>
      <w:numFmt w:val="bullet"/>
      <w:lvlText w:val=""/>
      <w:lvlPicBulletId w:val="2"/>
      <w:lvlJc w:val="left"/>
      <w:pPr>
        <w:ind w:left="86" w:firstLine="677"/>
      </w:pPr>
      <w:rPr>
        <w:rFonts w:ascii="Symbol" w:hAnsi="Symbol" w:hint="default"/>
        <w:color w:val="auto"/>
      </w:rPr>
    </w:lvl>
    <w:lvl w:ilvl="3">
      <w:start w:val="1"/>
      <w:numFmt w:val="bullet"/>
      <w:lvlText w:val=""/>
      <w:lvlPicBulletId w:val="3"/>
      <w:lvlJc w:val="left"/>
      <w:pPr>
        <w:ind w:left="86" w:firstLine="936"/>
      </w:pPr>
      <w:rPr>
        <w:rFonts w:ascii="Symbol" w:hAnsi="Symbol" w:hint="default"/>
        <w:color w:val="auto"/>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hint="default"/>
      </w:rPr>
    </w:lvl>
    <w:lvl w:ilvl="6">
      <w:start w:val="1"/>
      <w:numFmt w:val="bullet"/>
      <w:lvlText w:val=""/>
      <w:lvlJc w:val="left"/>
      <w:pPr>
        <w:ind w:left="5126" w:hanging="360"/>
      </w:pPr>
      <w:rPr>
        <w:rFonts w:ascii="Symbol" w:hAnsi="Symbol" w:hint="default"/>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hint="default"/>
      </w:rPr>
    </w:lvl>
  </w:abstractNum>
  <w:abstractNum w:abstractNumId="22" w15:restartNumberingAfterBreak="0">
    <w:nsid w:val="5EBB7C65"/>
    <w:multiLevelType w:val="hybridMultilevel"/>
    <w:tmpl w:val="846210CA"/>
    <w:lvl w:ilvl="0" w:tplc="9976C5F8">
      <w:start w:val="1"/>
      <w:numFmt w:val="bullet"/>
      <w:pStyle w:val="listepuce1"/>
      <w:lvlText w:val=""/>
      <w:lvlPicBulletId w:val="0"/>
      <w:lvlJc w:val="left"/>
      <w:pPr>
        <w:ind w:left="1728" w:hanging="331"/>
      </w:pPr>
      <w:rPr>
        <w:rFonts w:ascii="Symbol" w:hAnsi="Symbol" w:hint="default"/>
        <w:b w:val="0"/>
        <w:i w:val="0"/>
        <w:color w:val="auto"/>
        <w:position w:val="2"/>
        <w:sz w:val="22"/>
        <w:u w:color="7F7F7F"/>
      </w:rPr>
    </w:lvl>
    <w:lvl w:ilvl="1" w:tplc="1622956A" w:tentative="1">
      <w:start w:val="1"/>
      <w:numFmt w:val="bullet"/>
      <w:lvlText w:val="o"/>
      <w:lvlJc w:val="left"/>
      <w:pPr>
        <w:ind w:left="1440" w:hanging="360"/>
      </w:pPr>
      <w:rPr>
        <w:rFonts w:ascii="Courier New" w:hAnsi="Courier New" w:cs="Courier New" w:hint="default"/>
      </w:rPr>
    </w:lvl>
    <w:lvl w:ilvl="2" w:tplc="828A89C8" w:tentative="1">
      <w:start w:val="1"/>
      <w:numFmt w:val="bullet"/>
      <w:lvlText w:val=""/>
      <w:lvlJc w:val="left"/>
      <w:pPr>
        <w:ind w:left="2160" w:hanging="360"/>
      </w:pPr>
      <w:rPr>
        <w:rFonts w:ascii="Wingdings" w:hAnsi="Wingdings" w:hint="default"/>
      </w:rPr>
    </w:lvl>
    <w:lvl w:ilvl="3" w:tplc="4C26C308" w:tentative="1">
      <w:start w:val="1"/>
      <w:numFmt w:val="bullet"/>
      <w:lvlText w:val=""/>
      <w:lvlJc w:val="left"/>
      <w:pPr>
        <w:ind w:left="2880" w:hanging="360"/>
      </w:pPr>
      <w:rPr>
        <w:rFonts w:ascii="Symbol" w:hAnsi="Symbol" w:hint="default"/>
      </w:rPr>
    </w:lvl>
    <w:lvl w:ilvl="4" w:tplc="98BE5FEA" w:tentative="1">
      <w:start w:val="1"/>
      <w:numFmt w:val="bullet"/>
      <w:lvlText w:val="o"/>
      <w:lvlJc w:val="left"/>
      <w:pPr>
        <w:ind w:left="3600" w:hanging="360"/>
      </w:pPr>
      <w:rPr>
        <w:rFonts w:ascii="Courier New" w:hAnsi="Courier New" w:cs="Courier New" w:hint="default"/>
      </w:rPr>
    </w:lvl>
    <w:lvl w:ilvl="5" w:tplc="FD2E7E94" w:tentative="1">
      <w:start w:val="1"/>
      <w:numFmt w:val="bullet"/>
      <w:lvlText w:val=""/>
      <w:lvlJc w:val="left"/>
      <w:pPr>
        <w:ind w:left="4320" w:hanging="360"/>
      </w:pPr>
      <w:rPr>
        <w:rFonts w:ascii="Wingdings" w:hAnsi="Wingdings" w:hint="default"/>
      </w:rPr>
    </w:lvl>
    <w:lvl w:ilvl="6" w:tplc="94DC5EA4" w:tentative="1">
      <w:start w:val="1"/>
      <w:numFmt w:val="bullet"/>
      <w:lvlText w:val=""/>
      <w:lvlJc w:val="left"/>
      <w:pPr>
        <w:ind w:left="5040" w:hanging="360"/>
      </w:pPr>
      <w:rPr>
        <w:rFonts w:ascii="Symbol" w:hAnsi="Symbol" w:hint="default"/>
      </w:rPr>
    </w:lvl>
    <w:lvl w:ilvl="7" w:tplc="22963712" w:tentative="1">
      <w:start w:val="1"/>
      <w:numFmt w:val="bullet"/>
      <w:lvlText w:val="o"/>
      <w:lvlJc w:val="left"/>
      <w:pPr>
        <w:ind w:left="5760" w:hanging="360"/>
      </w:pPr>
      <w:rPr>
        <w:rFonts w:ascii="Courier New" w:hAnsi="Courier New" w:cs="Courier New" w:hint="default"/>
      </w:rPr>
    </w:lvl>
    <w:lvl w:ilvl="8" w:tplc="1F3CA18A" w:tentative="1">
      <w:start w:val="1"/>
      <w:numFmt w:val="bullet"/>
      <w:lvlText w:val=""/>
      <w:lvlJc w:val="left"/>
      <w:pPr>
        <w:ind w:left="6480" w:hanging="360"/>
      </w:pPr>
      <w:rPr>
        <w:rFonts w:ascii="Wingdings" w:hAnsi="Wingdings" w:hint="default"/>
      </w:rPr>
    </w:lvl>
  </w:abstractNum>
  <w:abstractNum w:abstractNumId="23" w15:restartNumberingAfterBreak="0">
    <w:nsid w:val="62133759"/>
    <w:multiLevelType w:val="hybridMultilevel"/>
    <w:tmpl w:val="5EA8A630"/>
    <w:lvl w:ilvl="0" w:tplc="064AA6B0">
      <w:start w:val="1"/>
      <w:numFmt w:val="bullet"/>
      <w:lvlText w:val=""/>
      <w:lvlPicBulletId w:val="0"/>
      <w:lvlJc w:val="left"/>
      <w:pPr>
        <w:ind w:left="1973" w:hanging="360"/>
      </w:pPr>
      <w:rPr>
        <w:rFonts w:ascii="Symbol" w:hAnsi="Symbol" w:hint="default"/>
        <w:b w:val="0"/>
        <w:i w:val="0"/>
        <w:color w:val="auto"/>
        <w:position w:val="2"/>
        <w:sz w:val="22"/>
        <w:u w:color="7F7F7F"/>
      </w:rPr>
    </w:lvl>
    <w:lvl w:ilvl="1" w:tplc="0C0C0003" w:tentative="1">
      <w:start w:val="1"/>
      <w:numFmt w:val="bullet"/>
      <w:lvlText w:val="o"/>
      <w:lvlJc w:val="left"/>
      <w:pPr>
        <w:ind w:left="2693" w:hanging="360"/>
      </w:pPr>
      <w:rPr>
        <w:rFonts w:ascii="Courier New" w:hAnsi="Courier New" w:cs="Courier New" w:hint="default"/>
      </w:rPr>
    </w:lvl>
    <w:lvl w:ilvl="2" w:tplc="0C0C0005" w:tentative="1">
      <w:start w:val="1"/>
      <w:numFmt w:val="bullet"/>
      <w:lvlText w:val=""/>
      <w:lvlJc w:val="left"/>
      <w:pPr>
        <w:ind w:left="3413" w:hanging="360"/>
      </w:pPr>
      <w:rPr>
        <w:rFonts w:ascii="Wingdings" w:hAnsi="Wingdings" w:hint="default"/>
      </w:rPr>
    </w:lvl>
    <w:lvl w:ilvl="3" w:tplc="0C0C0001" w:tentative="1">
      <w:start w:val="1"/>
      <w:numFmt w:val="bullet"/>
      <w:lvlText w:val=""/>
      <w:lvlJc w:val="left"/>
      <w:pPr>
        <w:ind w:left="4133" w:hanging="360"/>
      </w:pPr>
      <w:rPr>
        <w:rFonts w:ascii="Symbol" w:hAnsi="Symbol" w:hint="default"/>
      </w:rPr>
    </w:lvl>
    <w:lvl w:ilvl="4" w:tplc="0C0C0003" w:tentative="1">
      <w:start w:val="1"/>
      <w:numFmt w:val="bullet"/>
      <w:lvlText w:val="o"/>
      <w:lvlJc w:val="left"/>
      <w:pPr>
        <w:ind w:left="4853" w:hanging="360"/>
      </w:pPr>
      <w:rPr>
        <w:rFonts w:ascii="Courier New" w:hAnsi="Courier New" w:cs="Courier New" w:hint="default"/>
      </w:rPr>
    </w:lvl>
    <w:lvl w:ilvl="5" w:tplc="0C0C0005" w:tentative="1">
      <w:start w:val="1"/>
      <w:numFmt w:val="bullet"/>
      <w:lvlText w:val=""/>
      <w:lvlJc w:val="left"/>
      <w:pPr>
        <w:ind w:left="5573" w:hanging="360"/>
      </w:pPr>
      <w:rPr>
        <w:rFonts w:ascii="Wingdings" w:hAnsi="Wingdings" w:hint="default"/>
      </w:rPr>
    </w:lvl>
    <w:lvl w:ilvl="6" w:tplc="0C0C0001" w:tentative="1">
      <w:start w:val="1"/>
      <w:numFmt w:val="bullet"/>
      <w:lvlText w:val=""/>
      <w:lvlJc w:val="left"/>
      <w:pPr>
        <w:ind w:left="6293" w:hanging="360"/>
      </w:pPr>
      <w:rPr>
        <w:rFonts w:ascii="Symbol" w:hAnsi="Symbol" w:hint="default"/>
      </w:rPr>
    </w:lvl>
    <w:lvl w:ilvl="7" w:tplc="0C0C0003" w:tentative="1">
      <w:start w:val="1"/>
      <w:numFmt w:val="bullet"/>
      <w:lvlText w:val="o"/>
      <w:lvlJc w:val="left"/>
      <w:pPr>
        <w:ind w:left="7013" w:hanging="360"/>
      </w:pPr>
      <w:rPr>
        <w:rFonts w:ascii="Courier New" w:hAnsi="Courier New" w:cs="Courier New" w:hint="default"/>
      </w:rPr>
    </w:lvl>
    <w:lvl w:ilvl="8" w:tplc="0C0C0005" w:tentative="1">
      <w:start w:val="1"/>
      <w:numFmt w:val="bullet"/>
      <w:lvlText w:val=""/>
      <w:lvlJc w:val="left"/>
      <w:pPr>
        <w:ind w:left="7733" w:hanging="360"/>
      </w:pPr>
      <w:rPr>
        <w:rFonts w:ascii="Wingdings" w:hAnsi="Wingdings" w:hint="default"/>
      </w:rPr>
    </w:lvl>
  </w:abstractNum>
  <w:abstractNum w:abstractNumId="24" w15:restartNumberingAfterBreak="0">
    <w:nsid w:val="66E11DFF"/>
    <w:multiLevelType w:val="hybridMultilevel"/>
    <w:tmpl w:val="3D728AC4"/>
    <w:lvl w:ilvl="0" w:tplc="228EE64C">
      <w:start w:val="1"/>
      <w:numFmt w:val="bullet"/>
      <w:pStyle w:val="listepuce2"/>
      <w:lvlText w:val=""/>
      <w:lvlPicBulletId w:val="4"/>
      <w:lvlJc w:val="left"/>
      <w:pPr>
        <w:ind w:left="2059" w:hanging="360"/>
      </w:pPr>
      <w:rPr>
        <w:rFonts w:ascii="Symbol" w:hAnsi="Symbol" w:hint="default"/>
        <w:b w:val="0"/>
        <w:i w:val="0"/>
        <w:color w:val="auto"/>
        <w:position w:val="2"/>
        <w:sz w:val="22"/>
        <w:u w:color="7F7F7F"/>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6D9A6F2D"/>
    <w:multiLevelType w:val="hybridMultilevel"/>
    <w:tmpl w:val="056A2042"/>
    <w:lvl w:ilvl="0" w:tplc="E894308C">
      <w:start w:val="1"/>
      <w:numFmt w:val="bullet"/>
      <w:pStyle w:val="tableaupuce2"/>
      <w:lvlText w:val=""/>
      <w:lvlPicBulletId w:val="5"/>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A83BEB"/>
    <w:multiLevelType w:val="hybridMultilevel"/>
    <w:tmpl w:val="019C15A2"/>
    <w:lvl w:ilvl="0" w:tplc="F528BC1C">
      <w:start w:val="1"/>
      <w:numFmt w:val="bullet"/>
      <w:lvlText w:val=""/>
      <w:lvlPicBulletId w:val="0"/>
      <w:lvlJc w:val="left"/>
      <w:pPr>
        <w:ind w:left="749" w:hanging="360"/>
      </w:pPr>
      <w:rPr>
        <w:rFonts w:ascii="Symbol" w:hAnsi="Symbol" w:hint="default"/>
        <w:b w:val="0"/>
        <w:i w:val="0"/>
        <w:color w:val="auto"/>
        <w:position w:val="2"/>
        <w:sz w:val="22"/>
        <w:u w:color="7F7F7F"/>
      </w:rPr>
    </w:lvl>
    <w:lvl w:ilvl="1" w:tplc="0C0C0003" w:tentative="1">
      <w:start w:val="1"/>
      <w:numFmt w:val="bullet"/>
      <w:lvlText w:val="o"/>
      <w:lvlJc w:val="left"/>
      <w:pPr>
        <w:ind w:left="1829" w:hanging="360"/>
      </w:pPr>
      <w:rPr>
        <w:rFonts w:ascii="Courier New" w:hAnsi="Courier New" w:cs="Courier New" w:hint="default"/>
      </w:rPr>
    </w:lvl>
    <w:lvl w:ilvl="2" w:tplc="0C0C0005" w:tentative="1">
      <w:start w:val="1"/>
      <w:numFmt w:val="bullet"/>
      <w:lvlText w:val=""/>
      <w:lvlJc w:val="left"/>
      <w:pPr>
        <w:ind w:left="2549" w:hanging="360"/>
      </w:pPr>
      <w:rPr>
        <w:rFonts w:ascii="Wingdings" w:hAnsi="Wingdings" w:hint="default"/>
      </w:rPr>
    </w:lvl>
    <w:lvl w:ilvl="3" w:tplc="0C0C0001" w:tentative="1">
      <w:start w:val="1"/>
      <w:numFmt w:val="bullet"/>
      <w:lvlText w:val=""/>
      <w:lvlJc w:val="left"/>
      <w:pPr>
        <w:ind w:left="3269" w:hanging="360"/>
      </w:pPr>
      <w:rPr>
        <w:rFonts w:ascii="Symbol" w:hAnsi="Symbol" w:hint="default"/>
      </w:rPr>
    </w:lvl>
    <w:lvl w:ilvl="4" w:tplc="0C0C0003" w:tentative="1">
      <w:start w:val="1"/>
      <w:numFmt w:val="bullet"/>
      <w:lvlText w:val="o"/>
      <w:lvlJc w:val="left"/>
      <w:pPr>
        <w:ind w:left="3989" w:hanging="360"/>
      </w:pPr>
      <w:rPr>
        <w:rFonts w:ascii="Courier New" w:hAnsi="Courier New" w:cs="Courier New" w:hint="default"/>
      </w:rPr>
    </w:lvl>
    <w:lvl w:ilvl="5" w:tplc="0C0C0005" w:tentative="1">
      <w:start w:val="1"/>
      <w:numFmt w:val="bullet"/>
      <w:lvlText w:val=""/>
      <w:lvlJc w:val="left"/>
      <w:pPr>
        <w:ind w:left="4709" w:hanging="360"/>
      </w:pPr>
      <w:rPr>
        <w:rFonts w:ascii="Wingdings" w:hAnsi="Wingdings" w:hint="default"/>
      </w:rPr>
    </w:lvl>
    <w:lvl w:ilvl="6" w:tplc="0C0C0001" w:tentative="1">
      <w:start w:val="1"/>
      <w:numFmt w:val="bullet"/>
      <w:lvlText w:val=""/>
      <w:lvlJc w:val="left"/>
      <w:pPr>
        <w:ind w:left="5429" w:hanging="360"/>
      </w:pPr>
      <w:rPr>
        <w:rFonts w:ascii="Symbol" w:hAnsi="Symbol" w:hint="default"/>
      </w:rPr>
    </w:lvl>
    <w:lvl w:ilvl="7" w:tplc="0C0C0003" w:tentative="1">
      <w:start w:val="1"/>
      <w:numFmt w:val="bullet"/>
      <w:lvlText w:val="o"/>
      <w:lvlJc w:val="left"/>
      <w:pPr>
        <w:ind w:left="6149" w:hanging="360"/>
      </w:pPr>
      <w:rPr>
        <w:rFonts w:ascii="Courier New" w:hAnsi="Courier New" w:cs="Courier New" w:hint="default"/>
      </w:rPr>
    </w:lvl>
    <w:lvl w:ilvl="8" w:tplc="0C0C0005" w:tentative="1">
      <w:start w:val="1"/>
      <w:numFmt w:val="bullet"/>
      <w:lvlText w:val=""/>
      <w:lvlJc w:val="left"/>
      <w:pPr>
        <w:ind w:left="6869" w:hanging="360"/>
      </w:pPr>
      <w:rPr>
        <w:rFonts w:ascii="Wingdings" w:hAnsi="Wingdings" w:hint="default"/>
      </w:rPr>
    </w:lvl>
  </w:abstractNum>
  <w:num w:numId="1">
    <w:abstractNumId w:val="26"/>
  </w:num>
  <w:num w:numId="2">
    <w:abstractNumId w:val="17"/>
  </w:num>
  <w:num w:numId="3">
    <w:abstractNumId w:val="17"/>
    <w:lvlOverride w:ilvl="0">
      <w:startOverride w:val="1"/>
    </w:lvlOverride>
  </w:num>
  <w:num w:numId="4">
    <w:abstractNumId w:val="17"/>
    <w:lvlOverride w:ilvl="0">
      <w:startOverride w:val="1"/>
    </w:lvlOverride>
  </w:num>
  <w:num w:numId="5">
    <w:abstractNumId w:val="3"/>
  </w:num>
  <w:num w:numId="6">
    <w:abstractNumId w:val="11"/>
  </w:num>
  <w:num w:numId="7">
    <w:abstractNumId w:val="19"/>
  </w:num>
  <w:num w:numId="8">
    <w:abstractNumId w:val="8"/>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4"/>
  </w:num>
  <w:num w:numId="18">
    <w:abstractNumId w:val="25"/>
  </w:num>
  <w:num w:numId="19">
    <w:abstractNumId w:val="23"/>
  </w:num>
  <w:num w:numId="20">
    <w:abstractNumId w:val="21"/>
  </w:num>
  <w:num w:numId="21">
    <w:abstractNumId w:val="18"/>
  </w:num>
  <w:num w:numId="22">
    <w:abstractNumId w:val="15"/>
  </w:num>
  <w:num w:numId="23">
    <w:abstractNumId w:val="20"/>
  </w:num>
  <w:num w:numId="24">
    <w:abstractNumId w:val="22"/>
  </w:num>
  <w:num w:numId="25">
    <w:abstractNumId w:val="24"/>
  </w:num>
  <w:num w:numId="26">
    <w:abstractNumId w:val="10"/>
  </w:num>
  <w:num w:numId="27">
    <w:abstractNumId w:val="13"/>
  </w:num>
  <w:num w:numId="28">
    <w:abstractNumId w:val="16"/>
  </w:num>
  <w:num w:numId="29">
    <w:abstractNumId w:val="25"/>
  </w:num>
  <w:num w:numId="30">
    <w:abstractNumId w:val="25"/>
  </w:num>
  <w:num w:numId="31">
    <w:abstractNumId w:val="25"/>
  </w:num>
  <w:num w:numId="32">
    <w:abstractNumId w:val="25"/>
  </w:num>
  <w:num w:numId="33">
    <w:abstractNumId w:val="12"/>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proofState w:spelling="clean" w:grammar="clean"/>
  <w:stylePaneSortMethod w:val="000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73"/>
    <w:rsid w:val="00000889"/>
    <w:rsid w:val="000011D8"/>
    <w:rsid w:val="00002414"/>
    <w:rsid w:val="00010D07"/>
    <w:rsid w:val="00020F22"/>
    <w:rsid w:val="00025198"/>
    <w:rsid w:val="00025A39"/>
    <w:rsid w:val="0003501E"/>
    <w:rsid w:val="00046427"/>
    <w:rsid w:val="00046EBC"/>
    <w:rsid w:val="00053306"/>
    <w:rsid w:val="0005674A"/>
    <w:rsid w:val="000730E2"/>
    <w:rsid w:val="000731B2"/>
    <w:rsid w:val="00091B30"/>
    <w:rsid w:val="00096B65"/>
    <w:rsid w:val="00096DEA"/>
    <w:rsid w:val="000A138C"/>
    <w:rsid w:val="000B320C"/>
    <w:rsid w:val="000B3398"/>
    <w:rsid w:val="000B6D11"/>
    <w:rsid w:val="000E1A71"/>
    <w:rsid w:val="000F127D"/>
    <w:rsid w:val="000F48C5"/>
    <w:rsid w:val="001033ED"/>
    <w:rsid w:val="00103A6C"/>
    <w:rsid w:val="0010444B"/>
    <w:rsid w:val="00112380"/>
    <w:rsid w:val="00112B98"/>
    <w:rsid w:val="001165A2"/>
    <w:rsid w:val="00117D43"/>
    <w:rsid w:val="00120D37"/>
    <w:rsid w:val="0012662F"/>
    <w:rsid w:val="001318DC"/>
    <w:rsid w:val="00132DA4"/>
    <w:rsid w:val="00135130"/>
    <w:rsid w:val="00145321"/>
    <w:rsid w:val="0014554B"/>
    <w:rsid w:val="00145E7B"/>
    <w:rsid w:val="001474C0"/>
    <w:rsid w:val="00151375"/>
    <w:rsid w:val="00162952"/>
    <w:rsid w:val="00162960"/>
    <w:rsid w:val="00162D16"/>
    <w:rsid w:val="00163C61"/>
    <w:rsid w:val="00164DE8"/>
    <w:rsid w:val="0016787A"/>
    <w:rsid w:val="00170169"/>
    <w:rsid w:val="00172FEC"/>
    <w:rsid w:val="001775FF"/>
    <w:rsid w:val="0018049A"/>
    <w:rsid w:val="00180B39"/>
    <w:rsid w:val="00182AF9"/>
    <w:rsid w:val="00187046"/>
    <w:rsid w:val="00195BA6"/>
    <w:rsid w:val="001A17CA"/>
    <w:rsid w:val="001A3E4D"/>
    <w:rsid w:val="001C07CB"/>
    <w:rsid w:val="001C2643"/>
    <w:rsid w:val="001D2ECE"/>
    <w:rsid w:val="001D378E"/>
    <w:rsid w:val="001D68E8"/>
    <w:rsid w:val="001E2EE1"/>
    <w:rsid w:val="001E493A"/>
    <w:rsid w:val="001F1F58"/>
    <w:rsid w:val="001F6B0B"/>
    <w:rsid w:val="001F763F"/>
    <w:rsid w:val="00201F96"/>
    <w:rsid w:val="00210868"/>
    <w:rsid w:val="002126D1"/>
    <w:rsid w:val="002143BE"/>
    <w:rsid w:val="00220C96"/>
    <w:rsid w:val="002222F9"/>
    <w:rsid w:val="002343E5"/>
    <w:rsid w:val="00234C94"/>
    <w:rsid w:val="00236DD0"/>
    <w:rsid w:val="00237A95"/>
    <w:rsid w:val="00242E8C"/>
    <w:rsid w:val="00245ED0"/>
    <w:rsid w:val="00247095"/>
    <w:rsid w:val="00251755"/>
    <w:rsid w:val="00256690"/>
    <w:rsid w:val="002614AB"/>
    <w:rsid w:val="00267D98"/>
    <w:rsid w:val="002717F0"/>
    <w:rsid w:val="00271982"/>
    <w:rsid w:val="00273B99"/>
    <w:rsid w:val="00274171"/>
    <w:rsid w:val="00274DB7"/>
    <w:rsid w:val="00276707"/>
    <w:rsid w:val="00281700"/>
    <w:rsid w:val="00285B8E"/>
    <w:rsid w:val="002907B5"/>
    <w:rsid w:val="00295528"/>
    <w:rsid w:val="002B455A"/>
    <w:rsid w:val="002B6BA3"/>
    <w:rsid w:val="002B7D6C"/>
    <w:rsid w:val="002D396E"/>
    <w:rsid w:val="002E0A6E"/>
    <w:rsid w:val="002F2233"/>
    <w:rsid w:val="002F54D8"/>
    <w:rsid w:val="0030203A"/>
    <w:rsid w:val="0030258F"/>
    <w:rsid w:val="00304F22"/>
    <w:rsid w:val="00310182"/>
    <w:rsid w:val="00315125"/>
    <w:rsid w:val="00322D38"/>
    <w:rsid w:val="0033675B"/>
    <w:rsid w:val="00340CF4"/>
    <w:rsid w:val="00343D6A"/>
    <w:rsid w:val="0034652C"/>
    <w:rsid w:val="0034767B"/>
    <w:rsid w:val="00350D2F"/>
    <w:rsid w:val="00361986"/>
    <w:rsid w:val="003730B9"/>
    <w:rsid w:val="003734CD"/>
    <w:rsid w:val="0038123E"/>
    <w:rsid w:val="003825B2"/>
    <w:rsid w:val="003907B0"/>
    <w:rsid w:val="0039195B"/>
    <w:rsid w:val="00392BDD"/>
    <w:rsid w:val="003A135B"/>
    <w:rsid w:val="003A184D"/>
    <w:rsid w:val="003A276F"/>
    <w:rsid w:val="003A38F0"/>
    <w:rsid w:val="003A3E05"/>
    <w:rsid w:val="003A51F7"/>
    <w:rsid w:val="003A696F"/>
    <w:rsid w:val="003A6DDD"/>
    <w:rsid w:val="003B2586"/>
    <w:rsid w:val="003B285A"/>
    <w:rsid w:val="003B4971"/>
    <w:rsid w:val="003B7DAD"/>
    <w:rsid w:val="003C016F"/>
    <w:rsid w:val="003C6273"/>
    <w:rsid w:val="003D7969"/>
    <w:rsid w:val="003E11AF"/>
    <w:rsid w:val="003F210D"/>
    <w:rsid w:val="003F32BB"/>
    <w:rsid w:val="003F3873"/>
    <w:rsid w:val="003F5047"/>
    <w:rsid w:val="004003FA"/>
    <w:rsid w:val="00404128"/>
    <w:rsid w:val="004058FF"/>
    <w:rsid w:val="00407A3E"/>
    <w:rsid w:val="00411859"/>
    <w:rsid w:val="00420631"/>
    <w:rsid w:val="00424421"/>
    <w:rsid w:val="0042478B"/>
    <w:rsid w:val="004448BE"/>
    <w:rsid w:val="004521C8"/>
    <w:rsid w:val="0045416C"/>
    <w:rsid w:val="00457DCD"/>
    <w:rsid w:val="00461BC2"/>
    <w:rsid w:val="00471E2A"/>
    <w:rsid w:val="0047776A"/>
    <w:rsid w:val="0048246D"/>
    <w:rsid w:val="0049545E"/>
    <w:rsid w:val="004A12A8"/>
    <w:rsid w:val="004A6827"/>
    <w:rsid w:val="004A6C29"/>
    <w:rsid w:val="004B2B2C"/>
    <w:rsid w:val="004C0561"/>
    <w:rsid w:val="004C2CF2"/>
    <w:rsid w:val="004C3F41"/>
    <w:rsid w:val="004D1E64"/>
    <w:rsid w:val="004E39C2"/>
    <w:rsid w:val="00500B27"/>
    <w:rsid w:val="00503610"/>
    <w:rsid w:val="00503CA9"/>
    <w:rsid w:val="00513C63"/>
    <w:rsid w:val="0052370E"/>
    <w:rsid w:val="0052799F"/>
    <w:rsid w:val="00527E4A"/>
    <w:rsid w:val="00532E35"/>
    <w:rsid w:val="005359C7"/>
    <w:rsid w:val="00537B86"/>
    <w:rsid w:val="0054086E"/>
    <w:rsid w:val="005411B8"/>
    <w:rsid w:val="005477CE"/>
    <w:rsid w:val="005508C0"/>
    <w:rsid w:val="00552E63"/>
    <w:rsid w:val="0056274C"/>
    <w:rsid w:val="00566758"/>
    <w:rsid w:val="00576426"/>
    <w:rsid w:val="00584DDD"/>
    <w:rsid w:val="00586443"/>
    <w:rsid w:val="005A3933"/>
    <w:rsid w:val="005A6AFD"/>
    <w:rsid w:val="005B08DB"/>
    <w:rsid w:val="005B279B"/>
    <w:rsid w:val="005B33F9"/>
    <w:rsid w:val="005B4A85"/>
    <w:rsid w:val="005C2FD5"/>
    <w:rsid w:val="005C37A5"/>
    <w:rsid w:val="005C7D1B"/>
    <w:rsid w:val="005D5203"/>
    <w:rsid w:val="005D522D"/>
    <w:rsid w:val="005D5C10"/>
    <w:rsid w:val="005E1B5D"/>
    <w:rsid w:val="005E59C5"/>
    <w:rsid w:val="005E6FC3"/>
    <w:rsid w:val="005F0709"/>
    <w:rsid w:val="005F76FC"/>
    <w:rsid w:val="00613701"/>
    <w:rsid w:val="0062507F"/>
    <w:rsid w:val="00630163"/>
    <w:rsid w:val="00630824"/>
    <w:rsid w:val="00637532"/>
    <w:rsid w:val="00644707"/>
    <w:rsid w:val="00651F41"/>
    <w:rsid w:val="0066022F"/>
    <w:rsid w:val="00660BDE"/>
    <w:rsid w:val="00664FE3"/>
    <w:rsid w:val="006678F0"/>
    <w:rsid w:val="006707A1"/>
    <w:rsid w:val="0067189C"/>
    <w:rsid w:val="00675C1D"/>
    <w:rsid w:val="00676E35"/>
    <w:rsid w:val="006774A6"/>
    <w:rsid w:val="00687C14"/>
    <w:rsid w:val="00695628"/>
    <w:rsid w:val="006A0E66"/>
    <w:rsid w:val="006A108A"/>
    <w:rsid w:val="006A358E"/>
    <w:rsid w:val="006A7A2F"/>
    <w:rsid w:val="006B1189"/>
    <w:rsid w:val="006B77C3"/>
    <w:rsid w:val="006B7CDB"/>
    <w:rsid w:val="006C01FA"/>
    <w:rsid w:val="006C5889"/>
    <w:rsid w:val="006C72E5"/>
    <w:rsid w:val="006C7833"/>
    <w:rsid w:val="006D05E0"/>
    <w:rsid w:val="006D3FAE"/>
    <w:rsid w:val="006E158E"/>
    <w:rsid w:val="006E4940"/>
    <w:rsid w:val="006E7E93"/>
    <w:rsid w:val="006F6B98"/>
    <w:rsid w:val="00701FFE"/>
    <w:rsid w:val="0070375C"/>
    <w:rsid w:val="00725F36"/>
    <w:rsid w:val="00747154"/>
    <w:rsid w:val="007472A7"/>
    <w:rsid w:val="0075340B"/>
    <w:rsid w:val="00753B2F"/>
    <w:rsid w:val="00754858"/>
    <w:rsid w:val="00754C3F"/>
    <w:rsid w:val="007614FD"/>
    <w:rsid w:val="00765316"/>
    <w:rsid w:val="00766D35"/>
    <w:rsid w:val="0076798A"/>
    <w:rsid w:val="00771923"/>
    <w:rsid w:val="007719C3"/>
    <w:rsid w:val="007721AB"/>
    <w:rsid w:val="00774AA4"/>
    <w:rsid w:val="00780EA9"/>
    <w:rsid w:val="007819CA"/>
    <w:rsid w:val="00793CD8"/>
    <w:rsid w:val="00796434"/>
    <w:rsid w:val="007A1654"/>
    <w:rsid w:val="007A55A7"/>
    <w:rsid w:val="007C093C"/>
    <w:rsid w:val="007C3DBC"/>
    <w:rsid w:val="007D0BCB"/>
    <w:rsid w:val="007D1B7C"/>
    <w:rsid w:val="007D4221"/>
    <w:rsid w:val="007E4317"/>
    <w:rsid w:val="007F28CC"/>
    <w:rsid w:val="007F3132"/>
    <w:rsid w:val="007F4F68"/>
    <w:rsid w:val="00803070"/>
    <w:rsid w:val="00810EDA"/>
    <w:rsid w:val="008115CE"/>
    <w:rsid w:val="008271CA"/>
    <w:rsid w:val="0083490F"/>
    <w:rsid w:val="00835688"/>
    <w:rsid w:val="008403EC"/>
    <w:rsid w:val="00852245"/>
    <w:rsid w:val="008609BB"/>
    <w:rsid w:val="00863BC1"/>
    <w:rsid w:val="00864174"/>
    <w:rsid w:val="008652F9"/>
    <w:rsid w:val="008824E3"/>
    <w:rsid w:val="00885103"/>
    <w:rsid w:val="0088747C"/>
    <w:rsid w:val="0089431D"/>
    <w:rsid w:val="008A1764"/>
    <w:rsid w:val="008A2E44"/>
    <w:rsid w:val="008A546F"/>
    <w:rsid w:val="008C4CAD"/>
    <w:rsid w:val="008C7415"/>
    <w:rsid w:val="008C7B32"/>
    <w:rsid w:val="008D0282"/>
    <w:rsid w:val="008E7CAE"/>
    <w:rsid w:val="008F6E79"/>
    <w:rsid w:val="00905914"/>
    <w:rsid w:val="00907231"/>
    <w:rsid w:val="009072E5"/>
    <w:rsid w:val="00917005"/>
    <w:rsid w:val="00917594"/>
    <w:rsid w:val="009212BE"/>
    <w:rsid w:val="00922B3A"/>
    <w:rsid w:val="009250DB"/>
    <w:rsid w:val="00932D29"/>
    <w:rsid w:val="0093397A"/>
    <w:rsid w:val="00933DB9"/>
    <w:rsid w:val="00934723"/>
    <w:rsid w:val="00937D6E"/>
    <w:rsid w:val="0094177F"/>
    <w:rsid w:val="00943346"/>
    <w:rsid w:val="00947C5C"/>
    <w:rsid w:val="00950471"/>
    <w:rsid w:val="009527DA"/>
    <w:rsid w:val="0095707F"/>
    <w:rsid w:val="00961340"/>
    <w:rsid w:val="00963821"/>
    <w:rsid w:val="00970D6C"/>
    <w:rsid w:val="00985212"/>
    <w:rsid w:val="00993045"/>
    <w:rsid w:val="009A203C"/>
    <w:rsid w:val="009B15F3"/>
    <w:rsid w:val="009B1998"/>
    <w:rsid w:val="009B3C3D"/>
    <w:rsid w:val="009C4A11"/>
    <w:rsid w:val="009C557D"/>
    <w:rsid w:val="009D019D"/>
    <w:rsid w:val="009D2A3F"/>
    <w:rsid w:val="009D31B6"/>
    <w:rsid w:val="009D6BDE"/>
    <w:rsid w:val="009E3566"/>
    <w:rsid w:val="009E7BC5"/>
    <w:rsid w:val="009F2146"/>
    <w:rsid w:val="009F2AE7"/>
    <w:rsid w:val="009F649B"/>
    <w:rsid w:val="00A1280C"/>
    <w:rsid w:val="00A1290D"/>
    <w:rsid w:val="00A15921"/>
    <w:rsid w:val="00A35327"/>
    <w:rsid w:val="00A447EA"/>
    <w:rsid w:val="00A47BDF"/>
    <w:rsid w:val="00A60FAE"/>
    <w:rsid w:val="00A724F0"/>
    <w:rsid w:val="00A80AB6"/>
    <w:rsid w:val="00A86071"/>
    <w:rsid w:val="00A86724"/>
    <w:rsid w:val="00A86AD5"/>
    <w:rsid w:val="00AA23AA"/>
    <w:rsid w:val="00AA2C2F"/>
    <w:rsid w:val="00AA76AB"/>
    <w:rsid w:val="00AC37EF"/>
    <w:rsid w:val="00AC4A94"/>
    <w:rsid w:val="00AC649F"/>
    <w:rsid w:val="00AC7270"/>
    <w:rsid w:val="00AD113E"/>
    <w:rsid w:val="00AD273F"/>
    <w:rsid w:val="00AD46FE"/>
    <w:rsid w:val="00AE116B"/>
    <w:rsid w:val="00AE1910"/>
    <w:rsid w:val="00B0190A"/>
    <w:rsid w:val="00B01F9C"/>
    <w:rsid w:val="00B05F3C"/>
    <w:rsid w:val="00B2198E"/>
    <w:rsid w:val="00B26A9E"/>
    <w:rsid w:val="00B341EC"/>
    <w:rsid w:val="00B34E71"/>
    <w:rsid w:val="00B37FCD"/>
    <w:rsid w:val="00B37FF1"/>
    <w:rsid w:val="00B57BCB"/>
    <w:rsid w:val="00B60276"/>
    <w:rsid w:val="00B60C76"/>
    <w:rsid w:val="00B63160"/>
    <w:rsid w:val="00B65BBE"/>
    <w:rsid w:val="00B7609D"/>
    <w:rsid w:val="00B87487"/>
    <w:rsid w:val="00B90970"/>
    <w:rsid w:val="00BA514D"/>
    <w:rsid w:val="00BB1BEB"/>
    <w:rsid w:val="00BB1F10"/>
    <w:rsid w:val="00BB3486"/>
    <w:rsid w:val="00BC2652"/>
    <w:rsid w:val="00BC55EB"/>
    <w:rsid w:val="00BC79BA"/>
    <w:rsid w:val="00BD4173"/>
    <w:rsid w:val="00BD4424"/>
    <w:rsid w:val="00BD5E5A"/>
    <w:rsid w:val="00BD6562"/>
    <w:rsid w:val="00BE0AA8"/>
    <w:rsid w:val="00BE61ED"/>
    <w:rsid w:val="00BF41F4"/>
    <w:rsid w:val="00BF7304"/>
    <w:rsid w:val="00C01901"/>
    <w:rsid w:val="00C02078"/>
    <w:rsid w:val="00C05A8B"/>
    <w:rsid w:val="00C075F0"/>
    <w:rsid w:val="00C10DD7"/>
    <w:rsid w:val="00C152B0"/>
    <w:rsid w:val="00C17699"/>
    <w:rsid w:val="00C17D7B"/>
    <w:rsid w:val="00C22CC6"/>
    <w:rsid w:val="00C3434D"/>
    <w:rsid w:val="00C415F5"/>
    <w:rsid w:val="00C4299F"/>
    <w:rsid w:val="00C43F11"/>
    <w:rsid w:val="00C4671A"/>
    <w:rsid w:val="00C479BE"/>
    <w:rsid w:val="00C5314F"/>
    <w:rsid w:val="00C61BE4"/>
    <w:rsid w:val="00C75C19"/>
    <w:rsid w:val="00C77EA0"/>
    <w:rsid w:val="00C85468"/>
    <w:rsid w:val="00C85C9E"/>
    <w:rsid w:val="00C85ECD"/>
    <w:rsid w:val="00C93225"/>
    <w:rsid w:val="00CA0CF3"/>
    <w:rsid w:val="00CA14F7"/>
    <w:rsid w:val="00CA47B7"/>
    <w:rsid w:val="00CC0358"/>
    <w:rsid w:val="00CC258F"/>
    <w:rsid w:val="00CC44B7"/>
    <w:rsid w:val="00CE3C6A"/>
    <w:rsid w:val="00CE66E5"/>
    <w:rsid w:val="00CF657D"/>
    <w:rsid w:val="00D0182F"/>
    <w:rsid w:val="00D036F8"/>
    <w:rsid w:val="00D04D7B"/>
    <w:rsid w:val="00D13BE8"/>
    <w:rsid w:val="00D140C5"/>
    <w:rsid w:val="00D15429"/>
    <w:rsid w:val="00D17745"/>
    <w:rsid w:val="00D20127"/>
    <w:rsid w:val="00D21C56"/>
    <w:rsid w:val="00D24CA7"/>
    <w:rsid w:val="00D37431"/>
    <w:rsid w:val="00D43A73"/>
    <w:rsid w:val="00D43FB3"/>
    <w:rsid w:val="00D443E1"/>
    <w:rsid w:val="00D46AEE"/>
    <w:rsid w:val="00D46F56"/>
    <w:rsid w:val="00D54077"/>
    <w:rsid w:val="00D609B0"/>
    <w:rsid w:val="00D64F2B"/>
    <w:rsid w:val="00D67254"/>
    <w:rsid w:val="00D903E7"/>
    <w:rsid w:val="00D92964"/>
    <w:rsid w:val="00DA50AF"/>
    <w:rsid w:val="00DA5F77"/>
    <w:rsid w:val="00DA5FEA"/>
    <w:rsid w:val="00DB3EFE"/>
    <w:rsid w:val="00DB5FF8"/>
    <w:rsid w:val="00DC6062"/>
    <w:rsid w:val="00DD4A15"/>
    <w:rsid w:val="00DE01D4"/>
    <w:rsid w:val="00DE177B"/>
    <w:rsid w:val="00DF1574"/>
    <w:rsid w:val="00DF1DD5"/>
    <w:rsid w:val="00DF5694"/>
    <w:rsid w:val="00E04394"/>
    <w:rsid w:val="00E06B80"/>
    <w:rsid w:val="00E16375"/>
    <w:rsid w:val="00E20248"/>
    <w:rsid w:val="00E238A5"/>
    <w:rsid w:val="00E3288E"/>
    <w:rsid w:val="00E34F42"/>
    <w:rsid w:val="00E42659"/>
    <w:rsid w:val="00E56186"/>
    <w:rsid w:val="00E67FFE"/>
    <w:rsid w:val="00E73A17"/>
    <w:rsid w:val="00E97AC1"/>
    <w:rsid w:val="00EA185E"/>
    <w:rsid w:val="00EA1BAD"/>
    <w:rsid w:val="00EA5816"/>
    <w:rsid w:val="00EA7BBC"/>
    <w:rsid w:val="00EB0573"/>
    <w:rsid w:val="00EB3B94"/>
    <w:rsid w:val="00EB424C"/>
    <w:rsid w:val="00EB62AE"/>
    <w:rsid w:val="00EC2BA0"/>
    <w:rsid w:val="00EC5958"/>
    <w:rsid w:val="00ED2339"/>
    <w:rsid w:val="00ED47DE"/>
    <w:rsid w:val="00ED5B0D"/>
    <w:rsid w:val="00EE3E5B"/>
    <w:rsid w:val="00EE452D"/>
    <w:rsid w:val="00EE633D"/>
    <w:rsid w:val="00EE66A6"/>
    <w:rsid w:val="00EF0A70"/>
    <w:rsid w:val="00EF4EF9"/>
    <w:rsid w:val="00EF5299"/>
    <w:rsid w:val="00F024D3"/>
    <w:rsid w:val="00F04210"/>
    <w:rsid w:val="00F04311"/>
    <w:rsid w:val="00F1370D"/>
    <w:rsid w:val="00F14359"/>
    <w:rsid w:val="00F26427"/>
    <w:rsid w:val="00F31602"/>
    <w:rsid w:val="00F40A28"/>
    <w:rsid w:val="00F47644"/>
    <w:rsid w:val="00F5099B"/>
    <w:rsid w:val="00F50F91"/>
    <w:rsid w:val="00F535C9"/>
    <w:rsid w:val="00F54565"/>
    <w:rsid w:val="00F71C82"/>
    <w:rsid w:val="00F72B20"/>
    <w:rsid w:val="00F760BB"/>
    <w:rsid w:val="00F81434"/>
    <w:rsid w:val="00F84749"/>
    <w:rsid w:val="00F939E4"/>
    <w:rsid w:val="00F95FE1"/>
    <w:rsid w:val="00F96EBC"/>
    <w:rsid w:val="00F97A86"/>
    <w:rsid w:val="00FA6D23"/>
    <w:rsid w:val="00FB0B32"/>
    <w:rsid w:val="00FD3B5A"/>
    <w:rsid w:val="00FD608C"/>
    <w:rsid w:val="00FF47AE"/>
    <w:rsid w:val="00FF7A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506FE"/>
  <w15:chartTrackingRefBased/>
  <w15:docId w15:val="{40A896A9-9A58-436D-AB58-95FB2F7C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37D6E"/>
  </w:style>
  <w:style w:type="paragraph" w:styleId="Titre1">
    <w:name w:val="heading 1"/>
    <w:basedOn w:val="couvtitreprincipal"/>
    <w:next w:val="couvsous-titre"/>
    <w:link w:val="Titre1Car"/>
    <w:uiPriority w:val="9"/>
    <w:qFormat/>
    <w:rsid w:val="00F97A86"/>
  </w:style>
  <w:style w:type="paragraph" w:styleId="Titre2">
    <w:name w:val="heading 2"/>
    <w:basedOn w:val="Normal"/>
    <w:next w:val="Normal"/>
    <w:link w:val="Titre2Car"/>
    <w:uiPriority w:val="9"/>
    <w:unhideWhenUsed/>
    <w:qFormat/>
    <w:rsid w:val="007E4317"/>
    <w:pPr>
      <w:keepNext/>
      <w:keepLines/>
      <w:pBdr>
        <w:left w:val="single" w:sz="4" w:space="4" w:color="FFFFFF" w:themeColor="background1"/>
        <w:bottom w:val="single" w:sz="36" w:space="6" w:color="7D8BAD"/>
        <w:right w:val="single" w:sz="4" w:space="4" w:color="FFFFFF" w:themeColor="background1"/>
      </w:pBdr>
      <w:spacing w:before="520" w:after="380" w:line="380" w:lineRule="exact"/>
      <w:outlineLvl w:val="1"/>
    </w:pPr>
    <w:rPr>
      <w:rFonts w:ascii="Arial" w:eastAsiaTheme="majorEastAsia" w:hAnsi="Arial" w:cstheme="majorBidi"/>
      <w:b/>
      <w:color w:val="0A5080"/>
      <w:sz w:val="36"/>
      <w:szCs w:val="26"/>
    </w:rPr>
  </w:style>
  <w:style w:type="paragraph" w:styleId="Titre3">
    <w:name w:val="heading 3"/>
    <w:next w:val="textecourant"/>
    <w:link w:val="Titre3Car"/>
    <w:uiPriority w:val="9"/>
    <w:unhideWhenUsed/>
    <w:qFormat/>
    <w:rsid w:val="00AC37EF"/>
    <w:pPr>
      <w:keepNext/>
      <w:spacing w:before="480" w:after="120" w:line="300" w:lineRule="exact"/>
      <w:outlineLvl w:val="2"/>
    </w:pPr>
    <w:rPr>
      <w:rFonts w:ascii="Arial" w:eastAsiaTheme="majorEastAsia" w:hAnsi="Arial" w:cs="Arial"/>
      <w:b/>
      <w:color w:val="000000" w:themeColor="text1"/>
      <w:sz w:val="28"/>
      <w:szCs w:val="28"/>
    </w:rPr>
  </w:style>
  <w:style w:type="paragraph" w:styleId="Titre4">
    <w:name w:val="heading 4"/>
    <w:next w:val="textecourant"/>
    <w:link w:val="Titre4Car"/>
    <w:uiPriority w:val="9"/>
    <w:unhideWhenUsed/>
    <w:qFormat/>
    <w:rsid w:val="007C3DBC"/>
    <w:pPr>
      <w:keepNext/>
      <w:spacing w:before="360" w:after="120" w:line="280" w:lineRule="exact"/>
      <w:ind w:left="1253"/>
      <w:outlineLvl w:val="3"/>
    </w:pPr>
    <w:rPr>
      <w:rFonts w:ascii="Arial" w:eastAsiaTheme="majorEastAsia" w:hAnsi="Arial" w:cs="Arial"/>
      <w:b/>
      <w:iCs/>
      <w:color w:val="3D3D3D"/>
      <w:sz w:val="24"/>
      <w:szCs w:val="24"/>
    </w:rPr>
  </w:style>
  <w:style w:type="paragraph" w:styleId="Titre5">
    <w:name w:val="heading 5"/>
    <w:next w:val="textecourant"/>
    <w:link w:val="Titre5Car"/>
    <w:uiPriority w:val="9"/>
    <w:unhideWhenUsed/>
    <w:qFormat/>
    <w:rsid w:val="007C3DBC"/>
    <w:pPr>
      <w:keepNext/>
      <w:spacing w:before="320" w:after="120" w:line="240" w:lineRule="exact"/>
      <w:ind w:left="1253"/>
      <w:outlineLvl w:val="4"/>
    </w:pPr>
    <w:rPr>
      <w:rFonts w:ascii="Arial" w:eastAsiaTheme="majorEastAsia" w:hAnsi="Arial" w:cs="Arial"/>
      <w:b/>
      <w:color w:val="545555"/>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tcouleurcaractres">
    <w:name w:val="_vert (couleur caractères)"/>
    <w:uiPriority w:val="1"/>
    <w:semiHidden/>
    <w:qFormat/>
    <w:rsid w:val="002B6BA3"/>
    <w:rPr>
      <w:rFonts w:cs="ArialMT"/>
      <w:color w:val="D8D96E"/>
      <w:szCs w:val="20"/>
      <w:lang w:eastAsia="fr-CA"/>
    </w:rPr>
  </w:style>
  <w:style w:type="paragraph" w:customStyle="1" w:styleId="couvtypededocumentdate">
    <w:name w:val="_couv_type de document_date"/>
    <w:qFormat/>
    <w:rsid w:val="00D20127"/>
    <w:pPr>
      <w:pBdr>
        <w:bottom w:val="single" w:sz="6" w:space="6" w:color="0A5080"/>
      </w:pBdr>
      <w:spacing w:before="120" w:after="0" w:line="200" w:lineRule="exact"/>
      <w:ind w:left="5155" w:right="-1296"/>
    </w:pPr>
    <w:rPr>
      <w:rFonts w:ascii="Arial" w:eastAsia="Calibri" w:hAnsi="Arial" w:cs="Arial"/>
      <w:caps/>
      <w:color w:val="0A5080"/>
      <w:sz w:val="20"/>
      <w:szCs w:val="20"/>
    </w:rPr>
  </w:style>
  <w:style w:type="paragraph" w:customStyle="1" w:styleId="encadregrandtitre">
    <w:name w:val="_encadre_grand_titre"/>
    <w:next w:val="encadregrandtexte"/>
    <w:qFormat/>
    <w:rsid w:val="00170169"/>
    <w:pPr>
      <w:pBdr>
        <w:top w:val="single" w:sz="4" w:space="12" w:color="C9D26F"/>
        <w:left w:val="single" w:sz="48" w:space="12" w:color="C9D26F"/>
        <w:bottom w:val="single" w:sz="4" w:space="12" w:color="C9D26F"/>
        <w:right w:val="single" w:sz="4" w:space="12" w:color="C9D26F"/>
      </w:pBdr>
      <w:spacing w:before="360" w:after="120" w:line="260" w:lineRule="exact"/>
      <w:ind w:left="389" w:right="202"/>
    </w:pPr>
    <w:rPr>
      <w:rFonts w:ascii="Arial" w:eastAsia="Calibri" w:hAnsi="Arial" w:cs="Times New Roman"/>
      <w:b/>
      <w:color w:val="3D3D3D"/>
    </w:rPr>
  </w:style>
  <w:style w:type="character" w:customStyle="1" w:styleId="caractresgras">
    <w:name w:val="_(caractères) gras"/>
    <w:uiPriority w:val="1"/>
    <w:qFormat/>
    <w:rsid w:val="002B6BA3"/>
    <w:rPr>
      <w:b/>
    </w:rPr>
  </w:style>
  <w:style w:type="paragraph" w:customStyle="1" w:styleId="couvsurtitre">
    <w:name w:val="_couv_surtitre"/>
    <w:next w:val="couvtitreprincipal"/>
    <w:qFormat/>
    <w:rsid w:val="00046EBC"/>
    <w:pPr>
      <w:autoSpaceDE w:val="0"/>
      <w:autoSpaceDN w:val="0"/>
      <w:adjustRightInd w:val="0"/>
      <w:spacing w:after="360" w:line="340" w:lineRule="exact"/>
    </w:pPr>
    <w:rPr>
      <w:rFonts w:ascii="Arial Gras" w:eastAsia="Calibri" w:hAnsi="Arial Gras" w:cs="Arial"/>
      <w:b/>
      <w:caps/>
      <w:color w:val="0A5080"/>
      <w:spacing w:val="6"/>
      <w:sz w:val="27"/>
      <w:szCs w:val="26"/>
      <w:lang w:eastAsia="fr-CA"/>
    </w:rPr>
  </w:style>
  <w:style w:type="paragraph" w:customStyle="1" w:styleId="couvsous-titre">
    <w:name w:val="_couv_sous-titre"/>
    <w:qFormat/>
    <w:rsid w:val="00CC44B7"/>
    <w:pPr>
      <w:spacing w:before="360" w:after="480" w:line="280" w:lineRule="exact"/>
    </w:pPr>
    <w:rPr>
      <w:rFonts w:ascii="Arial" w:eastAsia="Calibri" w:hAnsi="Arial" w:cs="Arial"/>
      <w:caps/>
      <w:color w:val="405869"/>
      <w:sz w:val="20"/>
      <w:szCs w:val="20"/>
    </w:rPr>
  </w:style>
  <w:style w:type="paragraph" w:customStyle="1" w:styleId="couvtitreprincipal">
    <w:name w:val="_couv_titre_principal"/>
    <w:basedOn w:val="Normal"/>
    <w:qFormat/>
    <w:rsid w:val="007F3132"/>
    <w:pPr>
      <w:pBdr>
        <w:left w:val="single" w:sz="48" w:space="18" w:color="C9D26F" w:themeColor="accent1"/>
      </w:pBdr>
      <w:spacing w:after="0" w:line="640" w:lineRule="exact"/>
      <w:outlineLvl w:val="0"/>
    </w:pPr>
    <w:rPr>
      <w:rFonts w:ascii="Arial" w:eastAsia="Times New Roman" w:hAnsi="Arial" w:cs="Times New Roman"/>
      <w:bCs/>
      <w:color w:val="0A5080"/>
      <w:kern w:val="32"/>
      <w:sz w:val="52"/>
      <w:szCs w:val="52"/>
    </w:rPr>
  </w:style>
  <w:style w:type="character" w:customStyle="1" w:styleId="Titre1Car">
    <w:name w:val="Titre 1 Car"/>
    <w:basedOn w:val="Policepardfaut"/>
    <w:link w:val="Titre1"/>
    <w:uiPriority w:val="9"/>
    <w:rsid w:val="00F97A86"/>
    <w:rPr>
      <w:rFonts w:ascii="Arial" w:eastAsia="Times New Roman" w:hAnsi="Arial" w:cs="Times New Roman"/>
      <w:bCs/>
      <w:color w:val="0A5080"/>
      <w:kern w:val="32"/>
      <w:sz w:val="52"/>
      <w:szCs w:val="52"/>
    </w:rPr>
  </w:style>
  <w:style w:type="paragraph" w:styleId="En-tte">
    <w:name w:val="header"/>
    <w:basedOn w:val="Normal"/>
    <w:link w:val="En-tteCar"/>
    <w:uiPriority w:val="99"/>
    <w:rsid w:val="002B6BA3"/>
    <w:pPr>
      <w:tabs>
        <w:tab w:val="center" w:pos="4320"/>
        <w:tab w:val="right" w:pos="8640"/>
      </w:tabs>
      <w:spacing w:after="0" w:line="240" w:lineRule="auto"/>
    </w:pPr>
  </w:style>
  <w:style w:type="character" w:customStyle="1" w:styleId="En-tteCar">
    <w:name w:val="En-tête Car"/>
    <w:basedOn w:val="Policepardfaut"/>
    <w:link w:val="En-tte"/>
    <w:uiPriority w:val="99"/>
    <w:rsid w:val="00BC55EB"/>
  </w:style>
  <w:style w:type="paragraph" w:styleId="Pieddepage">
    <w:name w:val="footer"/>
    <w:basedOn w:val="Normal"/>
    <w:link w:val="PieddepageCar"/>
    <w:uiPriority w:val="99"/>
    <w:semiHidden/>
    <w:rsid w:val="002B6BA3"/>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BC55EB"/>
  </w:style>
  <w:style w:type="paragraph" w:customStyle="1" w:styleId="sautdesection">
    <w:name w:val="_saut de section"/>
    <w:qFormat/>
    <w:rsid w:val="003A135B"/>
    <w:pPr>
      <w:spacing w:before="120" w:after="0" w:line="240" w:lineRule="auto"/>
    </w:pPr>
    <w:rPr>
      <w:rFonts w:ascii="Arial" w:eastAsia="Calibri" w:hAnsi="Arial" w:cs="Times New Roman"/>
      <w:b/>
      <w:color w:val="FF0000"/>
      <w:sz w:val="32"/>
    </w:rPr>
  </w:style>
  <w:style w:type="paragraph" w:styleId="Date">
    <w:name w:val="Date"/>
    <w:basedOn w:val="Normal"/>
    <w:next w:val="Normal"/>
    <w:link w:val="DateCar"/>
    <w:uiPriority w:val="99"/>
    <w:semiHidden/>
    <w:rsid w:val="003A135B"/>
  </w:style>
  <w:style w:type="character" w:customStyle="1" w:styleId="DateCar">
    <w:name w:val="Date Car"/>
    <w:basedOn w:val="Policepardfaut"/>
    <w:link w:val="Date"/>
    <w:uiPriority w:val="99"/>
    <w:semiHidden/>
    <w:rsid w:val="00BC55EB"/>
  </w:style>
  <w:style w:type="character" w:customStyle="1" w:styleId="caractreshyperlien">
    <w:name w:val="_(caractères) hyperlien"/>
    <w:basedOn w:val="Lienhypertexte"/>
    <w:uiPriority w:val="1"/>
    <w:qFormat/>
    <w:rsid w:val="003A135B"/>
    <w:rPr>
      <w:color w:val="0A5080"/>
      <w:u w:val="single"/>
    </w:rPr>
  </w:style>
  <w:style w:type="paragraph" w:customStyle="1" w:styleId="isbn">
    <w:name w:val="_isbn"/>
    <w:qFormat/>
    <w:rsid w:val="008C7B32"/>
    <w:pPr>
      <w:tabs>
        <w:tab w:val="left" w:pos="900"/>
      </w:tabs>
      <w:spacing w:before="480" w:after="720" w:line="240" w:lineRule="auto"/>
    </w:pPr>
    <w:rPr>
      <w:rFonts w:ascii="Arial" w:eastAsia="Calibri" w:hAnsi="Arial" w:cs="Arial"/>
      <w:color w:val="545555"/>
      <w:sz w:val="16"/>
      <w:szCs w:val="18"/>
    </w:rPr>
  </w:style>
  <w:style w:type="paragraph" w:customStyle="1" w:styleId="Crdittxt">
    <w:name w:val="Crédit txt"/>
    <w:link w:val="CrdittxtCar"/>
    <w:semiHidden/>
    <w:rsid w:val="003A135B"/>
    <w:pPr>
      <w:keepNext/>
      <w:tabs>
        <w:tab w:val="left" w:pos="0"/>
      </w:tabs>
      <w:suppressAutoHyphens/>
      <w:spacing w:before="120" w:after="0" w:line="210" w:lineRule="exact"/>
    </w:pPr>
    <w:rPr>
      <w:rFonts w:ascii="Arial" w:eastAsia="Times New Roman" w:hAnsi="Arial" w:cs="Times New Roman"/>
      <w:sz w:val="17"/>
      <w:szCs w:val="14"/>
      <w:lang w:eastAsia="fr-CA"/>
    </w:rPr>
  </w:style>
  <w:style w:type="character" w:customStyle="1" w:styleId="CrdittxtCar">
    <w:name w:val="Crédit txt Car"/>
    <w:link w:val="Crdittxt"/>
    <w:semiHidden/>
    <w:rsid w:val="00BC55EB"/>
    <w:rPr>
      <w:rFonts w:ascii="Arial" w:eastAsia="Times New Roman" w:hAnsi="Arial" w:cs="Times New Roman"/>
      <w:sz w:val="17"/>
      <w:szCs w:val="14"/>
      <w:lang w:eastAsia="fr-CA"/>
    </w:rPr>
  </w:style>
  <w:style w:type="character" w:styleId="Lienhypertexte">
    <w:name w:val="Hyperlink"/>
    <w:basedOn w:val="Policepardfaut"/>
    <w:uiPriority w:val="99"/>
    <w:rsid w:val="003A135B"/>
    <w:rPr>
      <w:color w:val="0563C1" w:themeColor="hyperlink"/>
      <w:u w:val="single"/>
    </w:rPr>
  </w:style>
  <w:style w:type="paragraph" w:styleId="TM1">
    <w:name w:val="toc 1"/>
    <w:basedOn w:val="Normal"/>
    <w:next w:val="Normal"/>
    <w:uiPriority w:val="39"/>
    <w:rsid w:val="007D4221"/>
    <w:pPr>
      <w:pBdr>
        <w:top w:val="single" w:sz="8" w:space="12" w:color="B3E4F3"/>
        <w:left w:val="single" w:sz="8" w:space="12" w:color="B3E4F3"/>
        <w:bottom w:val="single" w:sz="8" w:space="12" w:color="B3E4F3"/>
        <w:right w:val="single" w:sz="8" w:space="12" w:color="B3E4F3"/>
      </w:pBdr>
      <w:tabs>
        <w:tab w:val="right" w:leader="dot" w:pos="9576"/>
      </w:tabs>
      <w:spacing w:before="280" w:after="120" w:line="260" w:lineRule="exact"/>
      <w:ind w:left="245" w:right="230"/>
    </w:pPr>
    <w:rPr>
      <w:rFonts w:ascii="Arial" w:eastAsia="Calibri" w:hAnsi="Arial" w:cs="Times New Roman"/>
      <w:b/>
      <w:noProof/>
      <w:color w:val="0A5080"/>
    </w:rPr>
  </w:style>
  <w:style w:type="paragraph" w:styleId="TM2">
    <w:name w:val="toc 2"/>
    <w:basedOn w:val="Normal"/>
    <w:next w:val="Normal"/>
    <w:autoRedefine/>
    <w:uiPriority w:val="39"/>
    <w:rsid w:val="007719C3"/>
    <w:pPr>
      <w:pBdr>
        <w:top w:val="single" w:sz="8" w:space="12" w:color="B3E4F3"/>
        <w:left w:val="single" w:sz="8" w:space="12" w:color="B3E4F3"/>
        <w:bottom w:val="single" w:sz="8" w:space="12" w:color="B3E4F3"/>
        <w:right w:val="single" w:sz="8" w:space="12" w:color="B3E4F3"/>
      </w:pBdr>
      <w:tabs>
        <w:tab w:val="left" w:pos="547"/>
        <w:tab w:val="right" w:leader="dot" w:pos="9576"/>
      </w:tabs>
      <w:spacing w:before="280" w:after="120" w:line="260" w:lineRule="exact"/>
      <w:ind w:left="562" w:right="230" w:hanging="317"/>
    </w:pPr>
    <w:rPr>
      <w:rFonts w:ascii="Arial" w:eastAsia="Calibri" w:hAnsi="Arial" w:cs="Times New Roman"/>
      <w:b/>
      <w:noProof/>
      <w:color w:val="0A5080"/>
    </w:rPr>
  </w:style>
  <w:style w:type="paragraph" w:styleId="TM3">
    <w:name w:val="toc 3"/>
    <w:basedOn w:val="Normal"/>
    <w:next w:val="Normal"/>
    <w:autoRedefine/>
    <w:uiPriority w:val="39"/>
    <w:rsid w:val="003D7969"/>
    <w:pPr>
      <w:tabs>
        <w:tab w:val="right" w:pos="9782"/>
      </w:tabs>
      <w:spacing w:before="120" w:after="120" w:line="220" w:lineRule="exact"/>
      <w:ind w:left="1699"/>
    </w:pPr>
    <w:rPr>
      <w:rFonts w:ascii="Arial" w:eastAsia="Calibri" w:hAnsi="Arial" w:cs="Times New Roman"/>
      <w:noProof/>
      <w:color w:val="000000"/>
      <w:sz w:val="20"/>
    </w:rPr>
  </w:style>
  <w:style w:type="paragraph" w:styleId="TM4">
    <w:name w:val="toc 4"/>
    <w:basedOn w:val="Normal"/>
    <w:next w:val="Normal"/>
    <w:autoRedefine/>
    <w:uiPriority w:val="39"/>
    <w:rsid w:val="003D7969"/>
    <w:pPr>
      <w:tabs>
        <w:tab w:val="left" w:pos="2664"/>
        <w:tab w:val="right" w:pos="9778"/>
      </w:tabs>
      <w:spacing w:before="120" w:after="120"/>
      <w:ind w:left="2131" w:hanging="432"/>
    </w:pPr>
    <w:rPr>
      <w:rFonts w:ascii="Arial" w:eastAsia="Calibri" w:hAnsi="Arial" w:cs="Times New Roman"/>
      <w:noProof/>
      <w:sz w:val="20"/>
    </w:rPr>
  </w:style>
  <w:style w:type="paragraph" w:styleId="TM5">
    <w:name w:val="toc 5"/>
    <w:basedOn w:val="Normal"/>
    <w:next w:val="Normal"/>
    <w:autoRedefine/>
    <w:uiPriority w:val="39"/>
    <w:rsid w:val="003D7969"/>
    <w:pPr>
      <w:tabs>
        <w:tab w:val="right" w:pos="9778"/>
      </w:tabs>
      <w:spacing w:before="120" w:after="120" w:line="240" w:lineRule="auto"/>
      <w:ind w:left="2131"/>
    </w:pPr>
    <w:rPr>
      <w:rFonts w:ascii="Arial" w:eastAsia="Calibri" w:hAnsi="Arial" w:cs="Times New Roman"/>
      <w:noProof/>
      <w:color w:val="262626"/>
      <w:sz w:val="20"/>
    </w:rPr>
  </w:style>
  <w:style w:type="paragraph" w:customStyle="1" w:styleId="titreTDM">
    <w:name w:val="_titre_TDM"/>
    <w:qFormat/>
    <w:rsid w:val="006B77C3"/>
    <w:pPr>
      <w:pBdr>
        <w:top w:val="single" w:sz="8" w:space="12" w:color="B3E4F3"/>
        <w:left w:val="single" w:sz="8" w:space="12" w:color="B3E4F3"/>
        <w:bottom w:val="single" w:sz="8" w:space="12" w:color="B3E4F3"/>
        <w:right w:val="single" w:sz="8" w:space="12" w:color="B3E4F3"/>
      </w:pBdr>
      <w:tabs>
        <w:tab w:val="left" w:pos="1397"/>
      </w:tabs>
      <w:spacing w:before="720" w:after="360" w:line="360" w:lineRule="exact"/>
      <w:ind w:left="216" w:right="202"/>
    </w:pPr>
    <w:rPr>
      <w:rFonts w:ascii="Arial" w:eastAsia="Calibri" w:hAnsi="Arial" w:cs="Arial"/>
      <w:b/>
      <w:color w:val="0A5080"/>
      <w:sz w:val="32"/>
      <w:szCs w:val="34"/>
    </w:rPr>
  </w:style>
  <w:style w:type="paragraph" w:styleId="TM6">
    <w:name w:val="toc 6"/>
    <w:basedOn w:val="Normal"/>
    <w:next w:val="Normal"/>
    <w:autoRedefine/>
    <w:uiPriority w:val="39"/>
    <w:rsid w:val="003D7969"/>
    <w:pPr>
      <w:tabs>
        <w:tab w:val="left" w:pos="3427"/>
        <w:tab w:val="right" w:pos="9778"/>
      </w:tabs>
      <w:spacing w:before="120" w:after="120" w:line="240" w:lineRule="auto"/>
      <w:ind w:left="2707" w:hanging="576"/>
    </w:pPr>
    <w:rPr>
      <w:rFonts w:ascii="Arial" w:eastAsia="Calibri" w:hAnsi="Arial" w:cs="Times New Roman"/>
      <w:noProof/>
      <w:color w:val="262626"/>
      <w:sz w:val="20"/>
    </w:rPr>
  </w:style>
  <w:style w:type="paragraph" w:styleId="Listenumros2">
    <w:name w:val="List Number 2"/>
    <w:basedOn w:val="Normal"/>
    <w:uiPriority w:val="99"/>
    <w:semiHidden/>
    <w:unhideWhenUsed/>
    <w:rsid w:val="00256690"/>
    <w:pPr>
      <w:numPr>
        <w:numId w:val="5"/>
      </w:numPr>
      <w:contextualSpacing/>
    </w:pPr>
    <w:rPr>
      <w:rFonts w:ascii="Calibri" w:eastAsia="Calibri" w:hAnsi="Calibri" w:cs="Times New Roman"/>
    </w:rPr>
  </w:style>
  <w:style w:type="paragraph" w:customStyle="1" w:styleId="textecourant">
    <w:name w:val="_texte courant"/>
    <w:basedOn w:val="Normal"/>
    <w:qFormat/>
    <w:rsid w:val="00AC37EF"/>
    <w:pPr>
      <w:spacing w:after="120" w:line="260" w:lineRule="exact"/>
      <w:jc w:val="both"/>
    </w:pPr>
    <w:rPr>
      <w:rFonts w:ascii="Arial" w:eastAsia="Calibri" w:hAnsi="Arial" w:cs="Times New Roman"/>
      <w:sz w:val="20"/>
    </w:rPr>
  </w:style>
  <w:style w:type="paragraph" w:customStyle="1" w:styleId="listenum1">
    <w:name w:val="_liste_num_1"/>
    <w:next w:val="listenum2"/>
    <w:qFormat/>
    <w:rsid w:val="003A6DDD"/>
    <w:pPr>
      <w:numPr>
        <w:numId w:val="6"/>
      </w:numPr>
      <w:spacing w:after="120" w:line="260" w:lineRule="exact"/>
      <w:ind w:left="1584" w:hanging="317"/>
      <w:jc w:val="both"/>
    </w:pPr>
    <w:rPr>
      <w:rFonts w:ascii="Arial" w:eastAsia="Calibri" w:hAnsi="Arial" w:cs="Times New Roman"/>
      <w:sz w:val="20"/>
    </w:rPr>
  </w:style>
  <w:style w:type="paragraph" w:customStyle="1" w:styleId="listenum2">
    <w:name w:val="_liste_num_2"/>
    <w:next w:val="listenum3"/>
    <w:qFormat/>
    <w:rsid w:val="003A6DDD"/>
    <w:pPr>
      <w:numPr>
        <w:ilvl w:val="1"/>
        <w:numId w:val="6"/>
      </w:numPr>
      <w:tabs>
        <w:tab w:val="left" w:pos="720"/>
      </w:tabs>
      <w:spacing w:after="120" w:line="260" w:lineRule="exact"/>
      <w:ind w:left="2030"/>
      <w:jc w:val="both"/>
    </w:pPr>
    <w:rPr>
      <w:rFonts w:ascii="Arial" w:eastAsia="Calibri" w:hAnsi="Arial" w:cs="Times New Roman"/>
      <w:sz w:val="20"/>
    </w:rPr>
  </w:style>
  <w:style w:type="paragraph" w:customStyle="1" w:styleId="listenum3">
    <w:name w:val="_liste_num_3"/>
    <w:next w:val="listenum4"/>
    <w:qFormat/>
    <w:rsid w:val="003A6DDD"/>
    <w:pPr>
      <w:numPr>
        <w:ilvl w:val="2"/>
        <w:numId w:val="6"/>
      </w:numPr>
      <w:tabs>
        <w:tab w:val="left" w:pos="1325"/>
      </w:tabs>
      <w:spacing w:after="120" w:line="260" w:lineRule="exact"/>
      <w:ind w:left="2606" w:hanging="590"/>
      <w:jc w:val="both"/>
    </w:pPr>
    <w:rPr>
      <w:rFonts w:ascii="Arial" w:eastAsia="Calibri" w:hAnsi="Arial" w:cs="Times New Roman"/>
      <w:sz w:val="20"/>
    </w:rPr>
  </w:style>
  <w:style w:type="paragraph" w:customStyle="1" w:styleId="listenum4">
    <w:name w:val="_liste_num_4"/>
    <w:qFormat/>
    <w:rsid w:val="003A6DDD"/>
    <w:pPr>
      <w:numPr>
        <w:ilvl w:val="3"/>
        <w:numId w:val="6"/>
      </w:numPr>
      <w:spacing w:after="120" w:line="260" w:lineRule="exact"/>
      <w:ind w:left="3370" w:hanging="778"/>
      <w:jc w:val="both"/>
    </w:pPr>
    <w:rPr>
      <w:rFonts w:ascii="Arial" w:eastAsia="Calibri" w:hAnsi="Arial" w:cs="Times New Roman"/>
      <w:sz w:val="20"/>
    </w:rPr>
  </w:style>
  <w:style w:type="paragraph" w:customStyle="1" w:styleId="Titre5numrot">
    <w:name w:val="Titre 5 (numéroté)"/>
    <w:basedOn w:val="Titre5"/>
    <w:next w:val="textecourant"/>
    <w:qFormat/>
    <w:rsid w:val="00B87487"/>
    <w:pPr>
      <w:keepNext w:val="0"/>
      <w:numPr>
        <w:ilvl w:val="3"/>
        <w:numId w:val="7"/>
      </w:numPr>
      <w:ind w:left="2002" w:hanging="749"/>
    </w:pPr>
    <w:rPr>
      <w:rFonts w:eastAsia="Times New Roman" w:cs="Times New Roman"/>
      <w:szCs w:val="26"/>
    </w:rPr>
  </w:style>
  <w:style w:type="paragraph" w:customStyle="1" w:styleId="Titre2numrot">
    <w:name w:val="Titre 2 (numéroté)"/>
    <w:basedOn w:val="Titre2"/>
    <w:next w:val="textecourant"/>
    <w:qFormat/>
    <w:rsid w:val="00117D43"/>
    <w:pPr>
      <w:keepLines w:val="0"/>
      <w:numPr>
        <w:numId w:val="7"/>
      </w:numPr>
      <w:pBdr>
        <w:top w:val="single" w:sz="2" w:space="26" w:color="FFFFFF" w:themeColor="background1"/>
        <w:left w:val="none" w:sz="0" w:space="0" w:color="auto"/>
        <w:right w:val="none" w:sz="0" w:space="0" w:color="auto"/>
      </w:pBdr>
      <w:spacing w:before="0"/>
    </w:pPr>
    <w:rPr>
      <w:rFonts w:eastAsia="Times New Roman" w:cs="Times New Roman"/>
      <w:bCs/>
      <w:iCs/>
      <w:szCs w:val="40"/>
    </w:rPr>
  </w:style>
  <w:style w:type="paragraph" w:customStyle="1" w:styleId="Titre3numrot">
    <w:name w:val="Titre 3 (numéroté)"/>
    <w:basedOn w:val="Titre3"/>
    <w:next w:val="textecourant"/>
    <w:qFormat/>
    <w:rsid w:val="00B87487"/>
    <w:pPr>
      <w:numPr>
        <w:ilvl w:val="1"/>
        <w:numId w:val="7"/>
      </w:numPr>
      <w:tabs>
        <w:tab w:val="left" w:pos="1440"/>
      </w:tabs>
      <w:ind w:left="1786" w:hanging="533"/>
    </w:pPr>
    <w:rPr>
      <w:rFonts w:eastAsia="Times New Roman" w:cs="Times New Roman"/>
      <w:bCs/>
      <w:szCs w:val="26"/>
    </w:rPr>
  </w:style>
  <w:style w:type="paragraph" w:customStyle="1" w:styleId="Titre4numrot">
    <w:name w:val="Titre 4 (numéroté)"/>
    <w:basedOn w:val="Titre4"/>
    <w:next w:val="textecourant"/>
    <w:qFormat/>
    <w:rsid w:val="00B87487"/>
    <w:pPr>
      <w:numPr>
        <w:ilvl w:val="2"/>
        <w:numId w:val="7"/>
      </w:numPr>
      <w:ind w:left="1915" w:hanging="662"/>
    </w:pPr>
    <w:rPr>
      <w:rFonts w:ascii="Arial Gras" w:eastAsia="Times New Roman" w:hAnsi="Arial Gras" w:cs="Times New Roman"/>
      <w:bCs/>
      <w:iCs w:val="0"/>
      <w:szCs w:val="28"/>
    </w:rPr>
  </w:style>
  <w:style w:type="character" w:customStyle="1" w:styleId="Titre5Car">
    <w:name w:val="Titre 5 Car"/>
    <w:basedOn w:val="Policepardfaut"/>
    <w:link w:val="Titre5"/>
    <w:uiPriority w:val="9"/>
    <w:rsid w:val="007C3DBC"/>
    <w:rPr>
      <w:rFonts w:ascii="Arial" w:eastAsiaTheme="majorEastAsia" w:hAnsi="Arial" w:cs="Arial"/>
      <w:b/>
      <w:color w:val="545555"/>
      <w:sz w:val="20"/>
    </w:rPr>
  </w:style>
  <w:style w:type="character" w:customStyle="1" w:styleId="Titre2Car">
    <w:name w:val="Titre 2 Car"/>
    <w:basedOn w:val="Policepardfaut"/>
    <w:link w:val="Titre2"/>
    <w:uiPriority w:val="9"/>
    <w:rsid w:val="007E4317"/>
    <w:rPr>
      <w:rFonts w:ascii="Arial" w:eastAsiaTheme="majorEastAsia" w:hAnsi="Arial" w:cstheme="majorBidi"/>
      <w:b/>
      <w:color w:val="0A5080"/>
      <w:sz w:val="36"/>
      <w:szCs w:val="26"/>
    </w:rPr>
  </w:style>
  <w:style w:type="character" w:customStyle="1" w:styleId="Titre3Car">
    <w:name w:val="Titre 3 Car"/>
    <w:basedOn w:val="Policepardfaut"/>
    <w:link w:val="Titre3"/>
    <w:uiPriority w:val="9"/>
    <w:rsid w:val="00AC37EF"/>
    <w:rPr>
      <w:rFonts w:ascii="Arial" w:eastAsiaTheme="majorEastAsia" w:hAnsi="Arial" w:cs="Arial"/>
      <w:b/>
      <w:color w:val="000000" w:themeColor="text1"/>
      <w:sz w:val="28"/>
      <w:szCs w:val="28"/>
    </w:rPr>
  </w:style>
  <w:style w:type="character" w:customStyle="1" w:styleId="Titre4Car">
    <w:name w:val="Titre 4 Car"/>
    <w:basedOn w:val="Policepardfaut"/>
    <w:link w:val="Titre4"/>
    <w:uiPriority w:val="9"/>
    <w:rsid w:val="007C3DBC"/>
    <w:rPr>
      <w:rFonts w:ascii="Arial" w:eastAsiaTheme="majorEastAsia" w:hAnsi="Arial" w:cs="Arial"/>
      <w:b/>
      <w:iCs/>
      <w:color w:val="3D3D3D"/>
      <w:sz w:val="24"/>
      <w:szCs w:val="24"/>
    </w:rPr>
  </w:style>
  <w:style w:type="paragraph" w:customStyle="1" w:styleId="tableautitre">
    <w:name w:val="_tableau_titre"/>
    <w:next w:val="textecourant"/>
    <w:qFormat/>
    <w:rsid w:val="00947C5C"/>
    <w:pPr>
      <w:spacing w:before="360" w:after="180" w:line="260" w:lineRule="exact"/>
      <w:ind w:left="-14"/>
    </w:pPr>
    <w:rPr>
      <w:rFonts w:ascii="Arial" w:eastAsia="Calibri" w:hAnsi="Arial" w:cs="Times New Roman"/>
      <w:b/>
      <w:color w:val="0A5080"/>
    </w:rPr>
  </w:style>
  <w:style w:type="paragraph" w:customStyle="1" w:styleId="tableauen-tte">
    <w:name w:val="_tableau_en-tête"/>
    <w:qFormat/>
    <w:rsid w:val="00C01901"/>
    <w:pPr>
      <w:spacing w:before="120" w:after="120" w:line="240" w:lineRule="exact"/>
    </w:pPr>
    <w:rPr>
      <w:rFonts w:ascii="Arial" w:eastAsia="Calibri" w:hAnsi="Arial" w:cs="Times New Roman"/>
      <w:b/>
      <w:color w:val="094771"/>
      <w:sz w:val="19"/>
    </w:rPr>
  </w:style>
  <w:style w:type="paragraph" w:customStyle="1" w:styleId="tableautexte">
    <w:name w:val="_tableau_texte"/>
    <w:qFormat/>
    <w:rsid w:val="001165A2"/>
    <w:pPr>
      <w:spacing w:before="80" w:after="80" w:line="240" w:lineRule="exact"/>
      <w:ind w:right="60"/>
    </w:pPr>
    <w:rPr>
      <w:rFonts w:ascii="Arial" w:eastAsia="Times New Roman" w:hAnsi="Arial" w:cs="Times New Roman"/>
      <w:sz w:val="18"/>
    </w:rPr>
  </w:style>
  <w:style w:type="paragraph" w:customStyle="1" w:styleId="tableaupied">
    <w:name w:val="_tableau_pied"/>
    <w:qFormat/>
    <w:rsid w:val="00ED47DE"/>
    <w:pPr>
      <w:spacing w:before="80" w:after="80" w:line="240" w:lineRule="exact"/>
    </w:pPr>
    <w:rPr>
      <w:rFonts w:ascii="Arial" w:eastAsia="Calibri" w:hAnsi="Arial" w:cs="Times New Roman"/>
      <w:b/>
      <w:color w:val="094771"/>
      <w:sz w:val="18"/>
    </w:rPr>
  </w:style>
  <w:style w:type="paragraph" w:customStyle="1" w:styleId="tableaunote">
    <w:name w:val="_tableau_note"/>
    <w:qFormat/>
    <w:rsid w:val="001165A2"/>
    <w:pPr>
      <w:tabs>
        <w:tab w:val="left" w:pos="115"/>
      </w:tabs>
      <w:spacing w:before="120" w:after="120" w:line="200" w:lineRule="exact"/>
      <w:ind w:left="115" w:hanging="115"/>
    </w:pPr>
    <w:rPr>
      <w:rFonts w:ascii="Arial" w:eastAsia="Calibri" w:hAnsi="Arial" w:cs="Times New Roman"/>
      <w:color w:val="405869"/>
      <w:sz w:val="16"/>
    </w:rPr>
  </w:style>
  <w:style w:type="paragraph" w:customStyle="1" w:styleId="tableaupuce1">
    <w:name w:val="_tableau_puce_1"/>
    <w:next w:val="tableaupuce2"/>
    <w:qFormat/>
    <w:rsid w:val="00C3434D"/>
    <w:pPr>
      <w:numPr>
        <w:numId w:val="17"/>
      </w:numPr>
      <w:spacing w:before="160" w:after="80" w:line="240" w:lineRule="exact"/>
      <w:ind w:left="302" w:hanging="302"/>
    </w:pPr>
    <w:rPr>
      <w:rFonts w:ascii="Arial" w:eastAsia="Calibri" w:hAnsi="Arial" w:cs="Times New Roman"/>
      <w:position w:val="4"/>
      <w:sz w:val="18"/>
    </w:rPr>
  </w:style>
  <w:style w:type="paragraph" w:customStyle="1" w:styleId="tableaupuce2">
    <w:name w:val="_tableau_puce_2"/>
    <w:qFormat/>
    <w:rsid w:val="001165A2"/>
    <w:pPr>
      <w:numPr>
        <w:numId w:val="18"/>
      </w:numPr>
      <w:spacing w:before="80" w:after="80" w:line="240" w:lineRule="exact"/>
    </w:pPr>
    <w:rPr>
      <w:rFonts w:ascii="Arial" w:eastAsia="Calibri" w:hAnsi="Arial" w:cs="Times New Roman"/>
      <w:sz w:val="18"/>
    </w:rPr>
  </w:style>
  <w:style w:type="paragraph" w:styleId="Listenumros5">
    <w:name w:val="List Number 5"/>
    <w:basedOn w:val="Normal"/>
    <w:uiPriority w:val="99"/>
    <w:semiHidden/>
    <w:unhideWhenUsed/>
    <w:rsid w:val="001165A2"/>
    <w:pPr>
      <w:tabs>
        <w:tab w:val="num" w:pos="1492"/>
      </w:tabs>
      <w:ind w:left="1492" w:hanging="360"/>
      <w:contextualSpacing/>
    </w:pPr>
    <w:rPr>
      <w:rFonts w:ascii="Calibri" w:eastAsia="Calibri" w:hAnsi="Calibri" w:cs="Times New Roman"/>
    </w:rPr>
  </w:style>
  <w:style w:type="character" w:customStyle="1" w:styleId="caractresitalique">
    <w:name w:val="_(caractères) italique"/>
    <w:uiPriority w:val="1"/>
    <w:qFormat/>
    <w:rsid w:val="001165A2"/>
    <w:rPr>
      <w:i/>
    </w:rPr>
  </w:style>
  <w:style w:type="table" w:styleId="Grilledutableau">
    <w:name w:val="Table Grid"/>
    <w:basedOn w:val="TableauNormal"/>
    <w:uiPriority w:val="39"/>
    <w:rsid w:val="00EA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resgrasitalique">
    <w:name w:val="_(caractères) gras italique"/>
    <w:uiPriority w:val="1"/>
    <w:qFormat/>
    <w:rsid w:val="004521C8"/>
    <w:rPr>
      <w:b/>
      <w:i/>
    </w:rPr>
  </w:style>
  <w:style w:type="paragraph" w:customStyle="1" w:styleId="listepuce1">
    <w:name w:val="_liste_puce_1"/>
    <w:next w:val="listepuce2"/>
    <w:qFormat/>
    <w:rsid w:val="00F84749"/>
    <w:pPr>
      <w:numPr>
        <w:numId w:val="24"/>
      </w:numPr>
      <w:tabs>
        <w:tab w:val="left" w:pos="274"/>
      </w:tabs>
      <w:spacing w:before="160" w:after="120" w:line="260" w:lineRule="exact"/>
      <w:ind w:left="1598"/>
      <w:jc w:val="both"/>
    </w:pPr>
    <w:rPr>
      <w:rFonts w:ascii="Arial" w:eastAsia="Calibri" w:hAnsi="Arial" w:cs="Times New Roman"/>
      <w:position w:val="3"/>
      <w:sz w:val="20"/>
    </w:rPr>
  </w:style>
  <w:style w:type="paragraph" w:customStyle="1" w:styleId="encadregrandpuce1">
    <w:name w:val="_encadre_grand_puce_1"/>
    <w:next w:val="encadregrandpuce2"/>
    <w:qFormat/>
    <w:rsid w:val="00F50F91"/>
    <w:pPr>
      <w:numPr>
        <w:numId w:val="20"/>
      </w:numPr>
      <w:pBdr>
        <w:top w:val="single" w:sz="4" w:space="12" w:color="C9D26F"/>
        <w:left w:val="single" w:sz="48" w:space="12" w:color="C9D26F"/>
        <w:bottom w:val="single" w:sz="4" w:space="12" w:color="C9D26F"/>
        <w:right w:val="single" w:sz="4" w:space="12" w:color="C9D26F"/>
      </w:pBdr>
      <w:spacing w:before="240" w:after="120" w:line="240" w:lineRule="exact"/>
      <w:ind w:left="706" w:right="202" w:hanging="317"/>
      <w:jc w:val="both"/>
    </w:pPr>
    <w:rPr>
      <w:rFonts w:ascii="Arial" w:eastAsia="Calibri" w:hAnsi="Arial" w:cs="Times New Roman"/>
      <w:noProof/>
      <w:position w:val="6"/>
      <w:sz w:val="18"/>
      <w:shd w:val="clear" w:color="auto" w:fill="FFFFFF"/>
      <w:lang w:eastAsia="fr-CA"/>
    </w:rPr>
  </w:style>
  <w:style w:type="paragraph" w:customStyle="1" w:styleId="encadregrandpuce2">
    <w:name w:val="_encadre_grand_puce_2"/>
    <w:next w:val="encadregrandpuce3"/>
    <w:qFormat/>
    <w:rsid w:val="00F50F91"/>
    <w:pPr>
      <w:numPr>
        <w:numId w:val="21"/>
      </w:numPr>
      <w:pBdr>
        <w:top w:val="single" w:sz="4" w:space="12" w:color="C9D26F"/>
        <w:left w:val="single" w:sz="48" w:space="12" w:color="C9D26F"/>
        <w:bottom w:val="single" w:sz="4" w:space="12" w:color="C9D26F"/>
        <w:right w:val="single" w:sz="4" w:space="12" w:color="C9D26F"/>
      </w:pBdr>
      <w:tabs>
        <w:tab w:val="left" w:pos="936"/>
      </w:tabs>
      <w:spacing w:before="160" w:after="120" w:line="240" w:lineRule="exact"/>
      <w:ind w:left="389" w:right="202" w:firstLine="274"/>
      <w:jc w:val="both"/>
    </w:pPr>
    <w:rPr>
      <w:rFonts w:ascii="Arial" w:eastAsia="Calibri" w:hAnsi="Arial" w:cs="Times New Roman"/>
      <w:position w:val="6"/>
      <w:sz w:val="18"/>
    </w:rPr>
  </w:style>
  <w:style w:type="paragraph" w:customStyle="1" w:styleId="encadregrandpuce3">
    <w:name w:val="_encadre_grand_puce_3"/>
    <w:next w:val="encadregrandpuce4"/>
    <w:qFormat/>
    <w:rsid w:val="00DB5FF8"/>
    <w:pPr>
      <w:numPr>
        <w:numId w:val="22"/>
      </w:numPr>
      <w:pBdr>
        <w:top w:val="single" w:sz="4" w:space="12" w:color="C9D26F"/>
        <w:left w:val="single" w:sz="48" w:space="12" w:color="C9D26F"/>
        <w:bottom w:val="single" w:sz="4" w:space="12" w:color="C9D26F"/>
        <w:right w:val="single" w:sz="4" w:space="12" w:color="C9D26F"/>
      </w:pBdr>
      <w:tabs>
        <w:tab w:val="left" w:pos="1181"/>
      </w:tabs>
      <w:spacing w:before="160" w:after="120" w:line="240" w:lineRule="exact"/>
      <w:ind w:left="389" w:right="202" w:firstLine="547"/>
      <w:jc w:val="both"/>
    </w:pPr>
    <w:rPr>
      <w:rFonts w:ascii="Arial" w:eastAsia="Calibri" w:hAnsi="Arial" w:cs="Times New Roman"/>
      <w:position w:val="2"/>
      <w:sz w:val="18"/>
    </w:rPr>
  </w:style>
  <w:style w:type="paragraph" w:customStyle="1" w:styleId="encadregrandpuce4">
    <w:name w:val="_encadre_grand_puce_4"/>
    <w:qFormat/>
    <w:rsid w:val="00DB5FF8"/>
    <w:pPr>
      <w:numPr>
        <w:numId w:val="23"/>
      </w:numPr>
      <w:pBdr>
        <w:top w:val="single" w:sz="4" w:space="12" w:color="C9D26F"/>
        <w:left w:val="single" w:sz="48" w:space="12" w:color="C9D26F"/>
        <w:bottom w:val="single" w:sz="4" w:space="12" w:color="C9D26F"/>
        <w:right w:val="single" w:sz="4" w:space="12" w:color="C9D26F"/>
      </w:pBdr>
      <w:tabs>
        <w:tab w:val="left" w:pos="1483"/>
      </w:tabs>
      <w:spacing w:before="180" w:after="120" w:line="240" w:lineRule="exact"/>
      <w:ind w:left="389" w:right="202" w:firstLine="792"/>
      <w:jc w:val="both"/>
    </w:pPr>
    <w:rPr>
      <w:rFonts w:ascii="Arial" w:eastAsia="Calibri" w:hAnsi="Arial" w:cs="Times New Roman"/>
      <w:sz w:val="18"/>
    </w:rPr>
  </w:style>
  <w:style w:type="paragraph" w:customStyle="1" w:styleId="encadregrandtexte">
    <w:name w:val="_encadre_grand_texte"/>
    <w:qFormat/>
    <w:rsid w:val="00B341EC"/>
    <w:pPr>
      <w:pBdr>
        <w:top w:val="single" w:sz="4" w:space="12" w:color="C9D26F"/>
        <w:left w:val="single" w:sz="48" w:space="12" w:color="C9D26F"/>
        <w:bottom w:val="single" w:sz="4" w:space="12" w:color="C9D26F"/>
        <w:right w:val="single" w:sz="4" w:space="12" w:color="C9D26F"/>
      </w:pBdr>
      <w:spacing w:before="120" w:after="120" w:line="240" w:lineRule="exact"/>
      <w:ind w:left="389" w:right="202"/>
      <w:jc w:val="both"/>
    </w:pPr>
    <w:rPr>
      <w:rFonts w:ascii="Arial" w:eastAsia="Calibri" w:hAnsi="Arial" w:cs="Times New Roman"/>
      <w:sz w:val="18"/>
    </w:rPr>
  </w:style>
  <w:style w:type="paragraph" w:customStyle="1" w:styleId="listepuce2">
    <w:name w:val="_liste_puce_2"/>
    <w:next w:val="listepuce3"/>
    <w:qFormat/>
    <w:rsid w:val="00A35327"/>
    <w:pPr>
      <w:numPr>
        <w:numId w:val="25"/>
      </w:numPr>
      <w:tabs>
        <w:tab w:val="left" w:pos="547"/>
      </w:tabs>
      <w:spacing w:after="120" w:line="260" w:lineRule="exact"/>
      <w:ind w:left="1815" w:hanging="274"/>
      <w:jc w:val="both"/>
    </w:pPr>
    <w:rPr>
      <w:rFonts w:ascii="Arial" w:eastAsia="Calibri" w:hAnsi="Arial" w:cs="Times New Roman"/>
      <w:position w:val="4"/>
      <w:sz w:val="20"/>
    </w:rPr>
  </w:style>
  <w:style w:type="paragraph" w:customStyle="1" w:styleId="listepuce3">
    <w:name w:val="_liste_puce_3"/>
    <w:next w:val="listepuce4"/>
    <w:qFormat/>
    <w:rsid w:val="00B341EC"/>
    <w:pPr>
      <w:numPr>
        <w:numId w:val="26"/>
      </w:numPr>
      <w:spacing w:before="120" w:after="120" w:line="260" w:lineRule="exact"/>
      <w:ind w:left="2059" w:hanging="245"/>
      <w:jc w:val="both"/>
    </w:pPr>
    <w:rPr>
      <w:rFonts w:ascii="Arial" w:eastAsia="Calibri" w:hAnsi="Arial" w:cs="Times New Roman"/>
      <w:position w:val="3"/>
      <w:sz w:val="20"/>
    </w:rPr>
  </w:style>
  <w:style w:type="paragraph" w:customStyle="1" w:styleId="listepuce4">
    <w:name w:val="_liste_puce_4"/>
    <w:qFormat/>
    <w:rsid w:val="00B341EC"/>
    <w:pPr>
      <w:numPr>
        <w:numId w:val="27"/>
      </w:numPr>
      <w:tabs>
        <w:tab w:val="left" w:pos="1094"/>
      </w:tabs>
      <w:spacing w:after="120" w:line="260" w:lineRule="exact"/>
      <w:ind w:left="2347" w:hanging="302"/>
      <w:jc w:val="both"/>
    </w:pPr>
    <w:rPr>
      <w:rFonts w:ascii="Arial" w:eastAsia="Calibri" w:hAnsi="Arial" w:cs="Times New Roman"/>
      <w:position w:val="-2"/>
      <w:sz w:val="20"/>
    </w:rPr>
  </w:style>
  <w:style w:type="paragraph" w:customStyle="1" w:styleId="imagegraphiquetitre">
    <w:name w:val="_image_graphique_titre"/>
    <w:next w:val="imagegraphique"/>
    <w:qFormat/>
    <w:rsid w:val="003F32BB"/>
    <w:pPr>
      <w:spacing w:before="360" w:after="180" w:line="260" w:lineRule="exact"/>
      <w:ind w:left="1267"/>
    </w:pPr>
    <w:rPr>
      <w:rFonts w:ascii="Arial" w:eastAsia="Calibri" w:hAnsi="Arial" w:cs="Times New Roman"/>
      <w:b/>
      <w:color w:val="0A5080"/>
    </w:rPr>
  </w:style>
  <w:style w:type="paragraph" w:customStyle="1" w:styleId="imagegraphique">
    <w:name w:val="_image_graphique"/>
    <w:next w:val="textecourant"/>
    <w:qFormat/>
    <w:rsid w:val="003F32BB"/>
    <w:pPr>
      <w:spacing w:before="180" w:after="120" w:line="240" w:lineRule="auto"/>
      <w:ind w:left="1267"/>
    </w:pPr>
    <w:rPr>
      <w:rFonts w:ascii="Arial" w:eastAsia="Calibri" w:hAnsi="Arial" w:cs="Times New Roman"/>
      <w:position w:val="6"/>
      <w:sz w:val="20"/>
    </w:rPr>
  </w:style>
  <w:style w:type="character" w:styleId="Textedelespacerserv">
    <w:name w:val="Placeholder Text"/>
    <w:basedOn w:val="Policepardfaut"/>
    <w:uiPriority w:val="99"/>
    <w:semiHidden/>
    <w:rsid w:val="001318DC"/>
    <w:rPr>
      <w:color w:val="808080"/>
    </w:rPr>
  </w:style>
  <w:style w:type="paragraph" w:customStyle="1" w:styleId="couvnomopc">
    <w:name w:val="_couv_nom opc"/>
    <w:next w:val="couvsurtitre"/>
    <w:qFormat/>
    <w:rsid w:val="00EF4EF9"/>
    <w:pPr>
      <w:spacing w:before="40" w:after="720" w:line="360" w:lineRule="exact"/>
      <w:ind w:left="5155" w:right="-1152"/>
    </w:pPr>
    <w:rPr>
      <w:rFonts w:ascii="Arial" w:eastAsia="Calibri" w:hAnsi="Arial" w:cs="Times New Roman"/>
      <w:b/>
      <w:color w:val="0A5080"/>
      <w:sz w:val="24"/>
      <w:szCs w:val="30"/>
    </w:rPr>
  </w:style>
  <w:style w:type="paragraph" w:customStyle="1" w:styleId="en-tetedate">
    <w:name w:val="_en-tete_date"/>
    <w:qFormat/>
    <w:rsid w:val="007D1B7C"/>
    <w:pPr>
      <w:spacing w:after="0" w:line="180" w:lineRule="exact"/>
    </w:pPr>
    <w:rPr>
      <w:rFonts w:ascii="Arial" w:eastAsia="Calibri" w:hAnsi="Arial" w:cs="Arial"/>
      <w:caps/>
      <w:sz w:val="14"/>
      <w:szCs w:val="14"/>
    </w:rPr>
  </w:style>
  <w:style w:type="paragraph" w:customStyle="1" w:styleId="en-tetetitre">
    <w:name w:val="_en-tete_titre"/>
    <w:qFormat/>
    <w:rsid w:val="007D1B7C"/>
    <w:pPr>
      <w:spacing w:after="0" w:line="180" w:lineRule="exact"/>
    </w:pPr>
    <w:rPr>
      <w:rFonts w:ascii="Arial" w:eastAsia="Calibri" w:hAnsi="Arial" w:cs="Arial"/>
      <w:b/>
      <w:caps/>
      <w:sz w:val="14"/>
      <w:szCs w:val="14"/>
    </w:rPr>
  </w:style>
  <w:style w:type="paragraph" w:styleId="Notedebasdepage">
    <w:name w:val="footnote text"/>
    <w:basedOn w:val="Normal"/>
    <w:link w:val="NotedebasdepageCar"/>
    <w:uiPriority w:val="99"/>
    <w:rsid w:val="00091B30"/>
    <w:pPr>
      <w:spacing w:after="60" w:line="200" w:lineRule="exact"/>
      <w:ind w:left="274" w:hanging="274"/>
      <w:jc w:val="both"/>
    </w:pPr>
    <w:rPr>
      <w:rFonts w:ascii="Arial" w:eastAsia="Calibri" w:hAnsi="Arial" w:cs="Times New Roman"/>
      <w:sz w:val="16"/>
      <w:szCs w:val="20"/>
    </w:rPr>
  </w:style>
  <w:style w:type="character" w:customStyle="1" w:styleId="NotedebasdepageCar">
    <w:name w:val="Note de bas de page Car"/>
    <w:basedOn w:val="Policepardfaut"/>
    <w:link w:val="Notedebasdepage"/>
    <w:uiPriority w:val="99"/>
    <w:rsid w:val="00BC55EB"/>
    <w:rPr>
      <w:rFonts w:ascii="Arial" w:eastAsia="Calibri" w:hAnsi="Arial" w:cs="Times New Roman"/>
      <w:sz w:val="16"/>
      <w:szCs w:val="20"/>
    </w:rPr>
  </w:style>
  <w:style w:type="character" w:styleId="Appelnotedebasdep">
    <w:name w:val="footnote reference"/>
    <w:uiPriority w:val="99"/>
    <w:rsid w:val="00091B30"/>
    <w:rPr>
      <w:vertAlign w:val="superscript"/>
    </w:rPr>
  </w:style>
  <w:style w:type="character" w:customStyle="1" w:styleId="caractressoulign">
    <w:name w:val="_(caractères) souligné"/>
    <w:uiPriority w:val="1"/>
    <w:qFormat/>
    <w:rsid w:val="002222F9"/>
    <w:rPr>
      <w:u w:val="single"/>
    </w:rPr>
  </w:style>
  <w:style w:type="paragraph" w:customStyle="1" w:styleId="encadrepetittitre">
    <w:name w:val="_encadre_petit_titre"/>
    <w:basedOn w:val="Normal"/>
    <w:qFormat/>
    <w:rsid w:val="00DA50AF"/>
    <w:pPr>
      <w:pBdr>
        <w:top w:val="single" w:sz="4" w:space="12" w:color="C9D26F"/>
        <w:left w:val="single" w:sz="48" w:space="12" w:color="C9D26F"/>
        <w:bottom w:val="single" w:sz="4" w:space="12" w:color="C9D26F"/>
        <w:right w:val="single" w:sz="4" w:space="12" w:color="C9D26F"/>
      </w:pBdr>
      <w:spacing w:before="360" w:after="120" w:line="260" w:lineRule="exact"/>
      <w:ind w:left="1656" w:right="202"/>
    </w:pPr>
    <w:rPr>
      <w:rFonts w:ascii="Arial" w:eastAsia="Calibri" w:hAnsi="Arial" w:cs="Times New Roman"/>
      <w:b/>
      <w:color w:val="3D3D3D"/>
    </w:rPr>
  </w:style>
  <w:style w:type="paragraph" w:customStyle="1" w:styleId="encadrepetittexte">
    <w:name w:val="_encadre_petit_texte"/>
    <w:basedOn w:val="Normal"/>
    <w:qFormat/>
    <w:rsid w:val="00DA50AF"/>
    <w:pPr>
      <w:pBdr>
        <w:top w:val="single" w:sz="4" w:space="12" w:color="C9D26F"/>
        <w:left w:val="single" w:sz="48" w:space="12" w:color="C9D26F"/>
        <w:bottom w:val="single" w:sz="4" w:space="12" w:color="C9D26F"/>
        <w:right w:val="single" w:sz="4" w:space="12" w:color="C9D26F"/>
      </w:pBdr>
      <w:spacing w:before="120" w:after="120" w:line="240" w:lineRule="exact"/>
      <w:ind w:left="1656" w:right="202"/>
      <w:jc w:val="both"/>
    </w:pPr>
    <w:rPr>
      <w:rFonts w:ascii="Arial" w:eastAsia="Calibri" w:hAnsi="Arial" w:cs="Times New Roman"/>
      <w:sz w:val="18"/>
    </w:rPr>
  </w:style>
  <w:style w:type="paragraph" w:styleId="Textedebulles">
    <w:name w:val="Balloon Text"/>
    <w:basedOn w:val="Normal"/>
    <w:link w:val="TextedebullesCar"/>
    <w:uiPriority w:val="99"/>
    <w:semiHidden/>
    <w:unhideWhenUsed/>
    <w:rsid w:val="0095047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0471"/>
    <w:rPr>
      <w:rFonts w:ascii="Segoe UI" w:hAnsi="Segoe UI" w:cs="Segoe UI"/>
      <w:sz w:val="18"/>
      <w:szCs w:val="18"/>
    </w:rPr>
  </w:style>
  <w:style w:type="table" w:customStyle="1" w:styleId="TableauMODLE">
    <w:name w:val="Tableau MODÈLE"/>
    <w:basedOn w:val="TableauNormal"/>
    <w:uiPriority w:val="99"/>
    <w:rsid w:val="00937D6E"/>
    <w:pPr>
      <w:spacing w:after="0" w:line="240" w:lineRule="auto"/>
    </w:pPr>
    <w:tblPr>
      <w:tblStyleRowBandSize w:val="1"/>
      <w:tblBorders>
        <w:bottom w:val="single" w:sz="4" w:space="0" w:color="0A5080" w:themeColor="accent2"/>
        <w:insideH w:val="single" w:sz="4" w:space="0" w:color="0A5080" w:themeColor="accent2"/>
        <w:insideV w:val="single" w:sz="4" w:space="0" w:color="0A5080" w:themeColor="accent2"/>
      </w:tblBorders>
    </w:tblPr>
    <w:tcPr>
      <w:tcMar>
        <w:top w:w="86" w:type="dxa"/>
        <w:left w:w="173" w:type="dxa"/>
        <w:bottom w:w="86" w:type="dxa"/>
        <w:right w:w="173" w:type="dxa"/>
      </w:tcMar>
    </w:tcPr>
    <w:tblStylePr w:type="firstRow">
      <w:tblPr/>
      <w:tcPr>
        <w:tcBorders>
          <w:top w:val="nil"/>
          <w:left w:val="nil"/>
          <w:bottom w:val="single" w:sz="12" w:space="0" w:color="0A5080" w:themeColor="accent2"/>
          <w:right w:val="nil"/>
          <w:insideH w:val="nil"/>
          <w:insideV w:val="nil"/>
          <w:tl2br w:val="nil"/>
          <w:tr2bl w:val="nil"/>
        </w:tcBorders>
        <w:shd w:val="clear" w:color="auto" w:fill="C9D26F" w:themeFill="accent1"/>
      </w:tcPr>
    </w:tblStylePr>
    <w:tblStylePr w:type="lastRow">
      <w:tblPr/>
      <w:tcPr>
        <w:tcBorders>
          <w:top w:val="nil"/>
          <w:left w:val="nil"/>
          <w:bottom w:val="single" w:sz="12" w:space="0" w:color="0A5080" w:themeColor="accent2"/>
          <w:right w:val="nil"/>
          <w:insideH w:val="nil"/>
          <w:insideV w:val="single" w:sz="4" w:space="0" w:color="0A5080" w:themeColor="accent2"/>
          <w:tl2br w:val="nil"/>
          <w:tr2bl w:val="nil"/>
        </w:tcBorders>
        <w:shd w:val="clear" w:color="auto" w:fill="B7C8D3"/>
        <w:tcMar>
          <w:top w:w="29" w:type="dxa"/>
          <w:left w:w="173" w:type="dxa"/>
          <w:bottom w:w="29" w:type="dxa"/>
          <w:right w:w="173" w:type="dxa"/>
        </w:tcMar>
      </w:tcPr>
    </w:tblStylePr>
    <w:tblStylePr w:type="band1Horz">
      <w:tblPr/>
      <w:tcPr>
        <w:tcBorders>
          <w:top w:val="single" w:sz="4" w:space="0" w:color="0A5080" w:themeColor="accent2"/>
          <w:left w:val="nil"/>
          <w:bottom w:val="single" w:sz="4" w:space="0" w:color="0A5080" w:themeColor="accent2"/>
          <w:right w:val="nil"/>
          <w:insideH w:val="nil"/>
          <w:insideV w:val="single" w:sz="4" w:space="0" w:color="0A5080" w:themeColor="accent2"/>
          <w:tl2br w:val="nil"/>
          <w:tr2bl w:val="nil"/>
        </w:tcBorders>
      </w:tcPr>
    </w:tblStylePr>
    <w:tblStylePr w:type="band2Horz">
      <w:tblPr/>
      <w:tcPr>
        <w:tcBorders>
          <w:top w:val="single" w:sz="4" w:space="0" w:color="0A5080" w:themeColor="accent2"/>
          <w:left w:val="nil"/>
          <w:bottom w:val="single" w:sz="4" w:space="0" w:color="0A5080" w:themeColor="accent2"/>
          <w:right w:val="nil"/>
          <w:insideH w:val="nil"/>
          <w:insideV w:val="single" w:sz="4" w:space="0" w:color="0A5080" w:themeColor="accent2"/>
          <w:tl2br w:val="nil"/>
          <w:tr2bl w:val="nil"/>
        </w:tcBorders>
        <w:shd w:val="clear" w:color="auto" w:fill="EAEAEA" w:themeFill="accent4"/>
      </w:tcPr>
    </w:tblStylePr>
  </w:style>
  <w:style w:type="paragraph" w:styleId="Paragraphedeliste">
    <w:name w:val="List Paragraph"/>
    <w:basedOn w:val="Normal"/>
    <w:uiPriority w:val="34"/>
    <w:qFormat/>
    <w:rsid w:val="00195BA6"/>
    <w:pPr>
      <w:spacing w:after="0" w:line="240" w:lineRule="auto"/>
      <w:ind w:left="720"/>
      <w:contextualSpacing/>
      <w:jc w:val="both"/>
    </w:pPr>
    <w:rPr>
      <w:rFonts w:ascii="Arial" w:eastAsia="Times New Roman" w:hAnsi="Arial" w:cs="Times New Roman"/>
      <w:szCs w:val="20"/>
      <w:lang w:eastAsia="fr-FR"/>
    </w:rPr>
  </w:style>
  <w:style w:type="character" w:styleId="Mentionnonrsolue">
    <w:name w:val="Unresolved Mention"/>
    <w:basedOn w:val="Policepardfaut"/>
    <w:uiPriority w:val="99"/>
    <w:semiHidden/>
    <w:unhideWhenUsed/>
    <w:rsid w:val="00E34F42"/>
    <w:rPr>
      <w:color w:val="605E5C"/>
      <w:shd w:val="clear" w:color="auto" w:fill="E1DFDD"/>
    </w:rPr>
  </w:style>
  <w:style w:type="character" w:styleId="Marquedecommentaire">
    <w:name w:val="annotation reference"/>
    <w:basedOn w:val="Policepardfaut"/>
    <w:uiPriority w:val="99"/>
    <w:semiHidden/>
    <w:unhideWhenUsed/>
    <w:rsid w:val="0018049A"/>
    <w:rPr>
      <w:sz w:val="16"/>
      <w:szCs w:val="16"/>
    </w:rPr>
  </w:style>
  <w:style w:type="paragraph" w:styleId="Commentaire">
    <w:name w:val="annotation text"/>
    <w:basedOn w:val="Normal"/>
    <w:link w:val="CommentaireCar"/>
    <w:uiPriority w:val="99"/>
    <w:semiHidden/>
    <w:unhideWhenUsed/>
    <w:rsid w:val="0018049A"/>
    <w:pPr>
      <w:spacing w:line="240" w:lineRule="auto"/>
    </w:pPr>
    <w:rPr>
      <w:sz w:val="20"/>
      <w:szCs w:val="20"/>
    </w:rPr>
  </w:style>
  <w:style w:type="character" w:customStyle="1" w:styleId="CommentaireCar">
    <w:name w:val="Commentaire Car"/>
    <w:basedOn w:val="Policepardfaut"/>
    <w:link w:val="Commentaire"/>
    <w:uiPriority w:val="99"/>
    <w:semiHidden/>
    <w:rsid w:val="0018049A"/>
    <w:rPr>
      <w:sz w:val="20"/>
      <w:szCs w:val="20"/>
    </w:rPr>
  </w:style>
  <w:style w:type="paragraph" w:styleId="Objetducommentaire">
    <w:name w:val="annotation subject"/>
    <w:basedOn w:val="Commentaire"/>
    <w:next w:val="Commentaire"/>
    <w:link w:val="ObjetducommentaireCar"/>
    <w:uiPriority w:val="99"/>
    <w:semiHidden/>
    <w:unhideWhenUsed/>
    <w:rsid w:val="0018049A"/>
    <w:rPr>
      <w:b/>
      <w:bCs/>
    </w:rPr>
  </w:style>
  <w:style w:type="character" w:customStyle="1" w:styleId="ObjetducommentaireCar">
    <w:name w:val="Objet du commentaire Car"/>
    <w:basedOn w:val="CommentaireCar"/>
    <w:link w:val="Objetducommentaire"/>
    <w:uiPriority w:val="99"/>
    <w:semiHidden/>
    <w:rsid w:val="0018049A"/>
    <w:rPr>
      <w:b/>
      <w:bCs/>
      <w:sz w:val="20"/>
      <w:szCs w:val="20"/>
    </w:rPr>
  </w:style>
  <w:style w:type="paragraph" w:styleId="Rvision">
    <w:name w:val="Revision"/>
    <w:hidden/>
    <w:uiPriority w:val="99"/>
    <w:semiHidden/>
    <w:rsid w:val="001804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ssnat.qc.ca/fr/travaux-parlementaires/projets-loi/projet-loi-197-42-1.html"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tif"/></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5.wmf"/></Relationships>
</file>

<file path=word/_rels/header3.xml.rels><?xml version="1.0" encoding="UTF-8" standalone="yes"?>
<Relationships xmlns="http://schemas.openxmlformats.org/package/2006/relationships"><Relationship Id="rId2" Type="http://schemas.openxmlformats.org/officeDocument/2006/relationships/image" Target="media/image13.tiff"/><Relationship Id="rId1" Type="http://schemas.openxmlformats.org/officeDocument/2006/relationships/image" Target="media/image12.wmf"/></Relationships>
</file>

<file path=word/_rels/numbering.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png"/><Relationship Id="rId7" Type="http://schemas.openxmlformats.org/officeDocument/2006/relationships/image" Target="media/image7.wmf"/><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10" Type="http://schemas.openxmlformats.org/officeDocument/2006/relationships/image" Target="media/image10.emf"/><Relationship Id="rId4" Type="http://schemas.openxmlformats.org/officeDocument/2006/relationships/image" Target="media/image4.png"/><Relationship Id="rId9"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FE0705B6BC48EE867626952743AA69"/>
        <w:category>
          <w:name w:val="Général"/>
          <w:gallery w:val="placeholder"/>
        </w:category>
        <w:types>
          <w:type w:val="bbPlcHdr"/>
        </w:types>
        <w:behaviors>
          <w:behavior w:val="content"/>
        </w:behaviors>
        <w:guid w:val="{225B633B-2DB1-4A09-8F96-913BC674224C}"/>
      </w:docPartPr>
      <w:docPartBody>
        <w:p w:rsidR="00A85BA7" w:rsidRDefault="005A7EEA">
          <w:r w:rsidRPr="006776D2">
            <w:rPr>
              <w:rStyle w:val="Textedelespacerserv"/>
            </w:rPr>
            <w:t>[Date de publication]</w:t>
          </w:r>
        </w:p>
      </w:docPartBody>
    </w:docPart>
    <w:docPart>
      <w:docPartPr>
        <w:name w:val="7C2F3A60CA93424A97DBA898AF5A5E3F"/>
        <w:category>
          <w:name w:val="Général"/>
          <w:gallery w:val="placeholder"/>
        </w:category>
        <w:types>
          <w:type w:val="bbPlcHdr"/>
        </w:types>
        <w:behaviors>
          <w:behavior w:val="content"/>
        </w:behaviors>
        <w:guid w:val="{5F6F9F05-D9BB-45F1-9F14-44AAA1E483E2}"/>
      </w:docPartPr>
      <w:docPartBody>
        <w:p w:rsidR="00D21728" w:rsidRDefault="009F59F4" w:rsidP="009F59F4">
          <w:pPr>
            <w:pStyle w:val="7C2F3A60CA93424A97DBA898AF5A5E3F"/>
          </w:pPr>
          <w:r w:rsidRPr="000B5261">
            <w:rPr>
              <w:rStyle w:val="Textedelespacerserv"/>
            </w:rPr>
            <w:t>[Date de publication]</w:t>
          </w:r>
        </w:p>
      </w:docPartBody>
    </w:docPart>
    <w:docPart>
      <w:docPartPr>
        <w:name w:val="5F23C5B17E1D4A62A52E619BDA353BF5"/>
        <w:category>
          <w:name w:val="Général"/>
          <w:gallery w:val="placeholder"/>
        </w:category>
        <w:types>
          <w:type w:val="bbPlcHdr"/>
        </w:types>
        <w:behaviors>
          <w:behavior w:val="content"/>
        </w:behaviors>
        <w:guid w:val="{30245A99-BC49-47B2-9CF8-20EEED18D3AE}"/>
      </w:docPartPr>
      <w:docPartBody>
        <w:p w:rsidR="00D21728" w:rsidRDefault="009F59F4" w:rsidP="009F59F4">
          <w:pPr>
            <w:pStyle w:val="5F23C5B17E1D4A62A52E619BDA353BF5"/>
          </w:pPr>
          <w:r w:rsidRPr="000B5261">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MT">
    <w:panose1 w:val="00000000000000000000"/>
    <w:charset w:val="4D"/>
    <w:family w:val="auto"/>
    <w:notTrueType/>
    <w:pitch w:val="default"/>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94369"/>
    <w:multiLevelType w:val="hybridMultilevel"/>
    <w:tmpl w:val="1CA2BC80"/>
    <w:lvl w:ilvl="0" w:tplc="15C8E494">
      <w:start w:val="1"/>
      <w:numFmt w:val="bullet"/>
      <w:pStyle w:val="tableaupuce1"/>
      <w:lvlText w:val=""/>
      <w:lvlJc w:val="left"/>
      <w:pPr>
        <w:ind w:left="360" w:hanging="360"/>
      </w:pPr>
      <w:rPr>
        <w:rFonts w:ascii="Symbol" w:hAnsi="Symbol" w:hint="default"/>
        <w:b w:val="0"/>
        <w:i w:val="0"/>
        <w:color w:val="405869"/>
        <w:position w:val="2"/>
        <w:sz w:val="24"/>
        <w:u w:color="7F7F7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6D9A6F2D"/>
    <w:multiLevelType w:val="hybridMultilevel"/>
    <w:tmpl w:val="056A2042"/>
    <w:lvl w:ilvl="0" w:tplc="E894308C">
      <w:start w:val="1"/>
      <w:numFmt w:val="bullet"/>
      <w:pStyle w:val="tableaupuce2"/>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EEA"/>
    <w:rsid w:val="000318DC"/>
    <w:rsid w:val="0006758C"/>
    <w:rsid w:val="00356FD8"/>
    <w:rsid w:val="0045177B"/>
    <w:rsid w:val="00466EBE"/>
    <w:rsid w:val="00470CB6"/>
    <w:rsid w:val="004B697E"/>
    <w:rsid w:val="005A2728"/>
    <w:rsid w:val="005A7EEA"/>
    <w:rsid w:val="007A6E6F"/>
    <w:rsid w:val="009F59F4"/>
    <w:rsid w:val="00A53152"/>
    <w:rsid w:val="00A85BA7"/>
    <w:rsid w:val="00AA6E62"/>
    <w:rsid w:val="00B10356"/>
    <w:rsid w:val="00C4731D"/>
    <w:rsid w:val="00C915DB"/>
    <w:rsid w:val="00CD141E"/>
    <w:rsid w:val="00D21728"/>
    <w:rsid w:val="00D9080F"/>
    <w:rsid w:val="00E90521"/>
    <w:rsid w:val="00EF4FEA"/>
    <w:rsid w:val="00F57A54"/>
    <w:rsid w:val="00FD25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F59F4"/>
    <w:rPr>
      <w:color w:val="808080"/>
    </w:rPr>
  </w:style>
  <w:style w:type="paragraph" w:customStyle="1" w:styleId="C20114A6893D483798D7FB5C03B02C6C">
    <w:name w:val="C20114A6893D483798D7FB5C03B02C6C"/>
    <w:rsid w:val="00466EBE"/>
  </w:style>
  <w:style w:type="paragraph" w:customStyle="1" w:styleId="905975305AD847A197EC28D8EAC40894">
    <w:name w:val="905975305AD847A197EC28D8EAC40894"/>
    <w:rsid w:val="00466EBE"/>
  </w:style>
  <w:style w:type="table" w:customStyle="1" w:styleId="TableaumodleOPC">
    <w:name w:val="Tableau modèle OPC"/>
    <w:basedOn w:val="TableauNormal"/>
    <w:uiPriority w:val="99"/>
    <w:rsid w:val="00470CB6"/>
    <w:pPr>
      <w:spacing w:after="0" w:line="240" w:lineRule="auto"/>
    </w:pPr>
    <w:rPr>
      <w:rFonts w:ascii="Calibri" w:eastAsia="Calibri" w:hAnsi="Calibri" w:cs="Times New Roman"/>
      <w:sz w:val="20"/>
      <w:szCs w:val="20"/>
    </w:rPr>
    <w:tblPr>
      <w:tblStyleRowBandSize w:val="1"/>
      <w:tblStyleColBandSize w:val="1"/>
    </w:tblPr>
    <w:tblStylePr w:type="firstRow">
      <w:tblPr/>
      <w:tcPr>
        <w:tcBorders>
          <w:top w:val="nil"/>
          <w:left w:val="nil"/>
          <w:bottom w:val="single" w:sz="12" w:space="0" w:color="0A5080"/>
          <w:right w:val="nil"/>
          <w:insideH w:val="nil"/>
          <w:insideV w:val="nil"/>
          <w:tl2br w:val="nil"/>
          <w:tr2bl w:val="nil"/>
        </w:tcBorders>
        <w:shd w:val="clear" w:color="auto" w:fill="C9D26F"/>
        <w:tcMar>
          <w:top w:w="86" w:type="dxa"/>
          <w:left w:w="173" w:type="dxa"/>
          <w:bottom w:w="86" w:type="dxa"/>
          <w:right w:w="173" w:type="dxa"/>
        </w:tcMar>
      </w:tcPr>
    </w:tblStylePr>
    <w:tblStylePr w:type="lastRow">
      <w:tblPr/>
      <w:tcPr>
        <w:tcBorders>
          <w:top w:val="single" w:sz="12" w:space="0" w:color="0A5080"/>
          <w:left w:val="nil"/>
          <w:bottom w:val="nil"/>
          <w:right w:val="nil"/>
          <w:insideH w:val="nil"/>
          <w:insideV w:val="single" w:sz="4" w:space="0" w:color="0A5080"/>
          <w:tl2br w:val="nil"/>
          <w:tr2bl w:val="nil"/>
        </w:tcBorders>
        <w:shd w:val="clear" w:color="auto" w:fill="B7C8D3"/>
        <w:tcMar>
          <w:top w:w="29" w:type="dxa"/>
          <w:left w:w="173" w:type="dxa"/>
          <w:bottom w:w="29" w:type="dxa"/>
          <w:right w:w="173" w:type="dxa"/>
        </w:tcMar>
      </w:tcPr>
    </w:tblStylePr>
    <w:tblStylePr w:type="firstCol">
      <w:tblPr/>
      <w:tcPr>
        <w:tcBorders>
          <w:top w:val="nil"/>
          <w:left w:val="nil"/>
          <w:bottom w:val="nil"/>
          <w:right w:val="single" w:sz="4" w:space="0" w:color="0A5080"/>
          <w:insideH w:val="nil"/>
          <w:insideV w:val="nil"/>
          <w:tl2br w:val="nil"/>
          <w:tr2bl w:val="nil"/>
        </w:tcBorders>
      </w:tcPr>
    </w:tblStylePr>
    <w:tblStylePr w:type="lastCol">
      <w:tblPr/>
      <w:tcPr>
        <w:tcBorders>
          <w:top w:val="nil"/>
          <w:left w:val="single" w:sz="4" w:space="0" w:color="0A5080"/>
          <w:bottom w:val="nil"/>
          <w:right w:val="nil"/>
          <w:insideH w:val="nil"/>
          <w:insideV w:val="nil"/>
          <w:tl2br w:val="nil"/>
          <w:tr2bl w:val="nil"/>
        </w:tcBorders>
      </w:tcPr>
    </w:tblStylePr>
    <w:tblStylePr w:type="band1Vert">
      <w:tblPr/>
      <w:tcPr>
        <w:tcBorders>
          <w:top w:val="nil"/>
          <w:left w:val="nil"/>
          <w:bottom w:val="nil"/>
          <w:right w:val="single" w:sz="4" w:space="0" w:color="0A5080"/>
          <w:insideH w:val="nil"/>
          <w:insideV w:val="nil"/>
          <w:tl2br w:val="nil"/>
          <w:tr2bl w:val="nil"/>
        </w:tcBorders>
        <w:shd w:val="clear" w:color="auto" w:fill="E6E6E6"/>
        <w:tcMar>
          <w:top w:w="86" w:type="dxa"/>
          <w:left w:w="173" w:type="dxa"/>
          <w:bottom w:w="86" w:type="dxa"/>
          <w:right w:w="173" w:type="dxa"/>
        </w:tcMar>
      </w:tcPr>
    </w:tblStylePr>
    <w:tblStylePr w:type="band2Vert">
      <w:tblPr/>
      <w:tcPr>
        <w:tcBorders>
          <w:top w:val="nil"/>
          <w:left w:val="nil"/>
          <w:bottom w:val="nil"/>
          <w:right w:val="single" w:sz="4" w:space="0" w:color="0A5080"/>
          <w:insideH w:val="nil"/>
          <w:insideV w:val="nil"/>
          <w:tl2br w:val="nil"/>
          <w:tr2bl w:val="nil"/>
        </w:tcBorders>
        <w:tcMar>
          <w:top w:w="86" w:type="dxa"/>
          <w:left w:w="173" w:type="dxa"/>
          <w:bottom w:w="86" w:type="dxa"/>
          <w:right w:w="173" w:type="dxa"/>
        </w:tcMar>
      </w:tcPr>
    </w:tblStylePr>
    <w:tblStylePr w:type="band1Horz">
      <w:tblPr/>
      <w:tcPr>
        <w:tcMar>
          <w:top w:w="86" w:type="dxa"/>
          <w:left w:w="173" w:type="dxa"/>
          <w:bottom w:w="86" w:type="dxa"/>
          <w:right w:w="173" w:type="dxa"/>
        </w:tcMar>
      </w:tcPr>
    </w:tblStylePr>
    <w:tblStylePr w:type="band2Horz">
      <w:tblPr/>
      <w:tcPr>
        <w:shd w:val="clear" w:color="auto" w:fill="EAEAEA"/>
        <w:tcMar>
          <w:top w:w="86" w:type="dxa"/>
          <w:left w:w="173" w:type="dxa"/>
          <w:bottom w:w="86" w:type="dxa"/>
          <w:right w:w="173" w:type="dxa"/>
        </w:tcMar>
      </w:tcPr>
    </w:tblStylePr>
  </w:style>
  <w:style w:type="paragraph" w:customStyle="1" w:styleId="tableauen-tte">
    <w:name w:val="_tableau_en-tête"/>
    <w:qFormat/>
    <w:rsid w:val="00C915DB"/>
    <w:pPr>
      <w:spacing w:before="120" w:after="120" w:line="240" w:lineRule="exact"/>
    </w:pPr>
    <w:rPr>
      <w:rFonts w:ascii="Arial" w:eastAsia="Calibri" w:hAnsi="Arial" w:cs="Times New Roman"/>
      <w:b/>
      <w:color w:val="094771"/>
      <w:sz w:val="19"/>
      <w:lang w:eastAsia="en-US"/>
    </w:rPr>
  </w:style>
  <w:style w:type="paragraph" w:customStyle="1" w:styleId="tableaucorps">
    <w:name w:val="_tableau_corps"/>
    <w:qFormat/>
    <w:rsid w:val="00470CB6"/>
    <w:pPr>
      <w:spacing w:before="80" w:after="80" w:line="240" w:lineRule="exact"/>
      <w:ind w:right="60"/>
    </w:pPr>
    <w:rPr>
      <w:rFonts w:ascii="Arial" w:eastAsia="Times New Roman" w:hAnsi="Arial" w:cs="Times New Roman"/>
      <w:sz w:val="18"/>
      <w:lang w:eastAsia="en-US"/>
    </w:rPr>
  </w:style>
  <w:style w:type="paragraph" w:customStyle="1" w:styleId="tableaupied">
    <w:name w:val="_tableau_pied"/>
    <w:qFormat/>
    <w:rsid w:val="00C915DB"/>
    <w:pPr>
      <w:spacing w:before="80" w:after="80" w:line="240" w:lineRule="exact"/>
    </w:pPr>
    <w:rPr>
      <w:rFonts w:ascii="Arial" w:eastAsia="Calibri" w:hAnsi="Arial" w:cs="Times New Roman"/>
      <w:b/>
      <w:color w:val="094771"/>
      <w:sz w:val="18"/>
      <w:lang w:eastAsia="en-US"/>
    </w:rPr>
  </w:style>
  <w:style w:type="paragraph" w:customStyle="1" w:styleId="tableaupuce1">
    <w:name w:val="_tableau_puce_1"/>
    <w:next w:val="tableaupuce2"/>
    <w:qFormat/>
    <w:rsid w:val="00C915DB"/>
    <w:pPr>
      <w:numPr>
        <w:numId w:val="1"/>
      </w:numPr>
      <w:spacing w:before="160" w:after="80" w:line="240" w:lineRule="exact"/>
      <w:ind w:left="302" w:hanging="302"/>
    </w:pPr>
    <w:rPr>
      <w:rFonts w:ascii="Arial" w:eastAsia="Calibri" w:hAnsi="Arial" w:cs="Times New Roman"/>
      <w:position w:val="4"/>
      <w:sz w:val="18"/>
      <w:lang w:eastAsia="en-US"/>
    </w:rPr>
  </w:style>
  <w:style w:type="paragraph" w:customStyle="1" w:styleId="tableaupuce2">
    <w:name w:val="_tableau_puce_2"/>
    <w:qFormat/>
    <w:rsid w:val="00C915DB"/>
    <w:pPr>
      <w:numPr>
        <w:numId w:val="2"/>
      </w:numPr>
      <w:spacing w:before="80" w:after="80" w:line="240" w:lineRule="exact"/>
      <w:ind w:left="662" w:hanging="302"/>
    </w:pPr>
    <w:rPr>
      <w:rFonts w:ascii="Arial" w:eastAsia="Calibri" w:hAnsi="Arial" w:cs="Times New Roman"/>
      <w:sz w:val="18"/>
      <w:lang w:eastAsia="en-US"/>
    </w:rPr>
  </w:style>
  <w:style w:type="character" w:styleId="Lienhypertexte">
    <w:name w:val="Hyperlink"/>
    <w:basedOn w:val="Policepardfaut"/>
    <w:uiPriority w:val="99"/>
    <w:rsid w:val="009F59F4"/>
    <w:rPr>
      <w:color w:val="0563C1" w:themeColor="hyperlink"/>
      <w:u w:val="single"/>
    </w:rPr>
  </w:style>
  <w:style w:type="paragraph" w:styleId="TM1">
    <w:name w:val="toc 1"/>
    <w:basedOn w:val="Normal"/>
    <w:next w:val="Normal"/>
    <w:uiPriority w:val="39"/>
    <w:rsid w:val="009F59F4"/>
    <w:pPr>
      <w:pBdr>
        <w:top w:val="single" w:sz="8" w:space="12" w:color="B3E4F3"/>
        <w:left w:val="single" w:sz="8" w:space="12" w:color="B3E4F3"/>
        <w:bottom w:val="single" w:sz="8" w:space="12" w:color="B3E4F3"/>
        <w:right w:val="single" w:sz="8" w:space="12" w:color="B3E4F3"/>
      </w:pBdr>
      <w:tabs>
        <w:tab w:val="right" w:leader="dot" w:pos="9576"/>
      </w:tabs>
      <w:spacing w:before="280" w:after="120" w:line="260" w:lineRule="exact"/>
      <w:ind w:left="245" w:right="230"/>
    </w:pPr>
    <w:rPr>
      <w:rFonts w:ascii="Arial" w:eastAsia="Calibri" w:hAnsi="Arial" w:cs="Times New Roman"/>
      <w:b/>
      <w:noProof/>
      <w:color w:val="0A5080"/>
      <w:lang w:eastAsia="en-US"/>
    </w:rPr>
  </w:style>
  <w:style w:type="paragraph" w:customStyle="1" w:styleId="TabledesmatiresMODLE">
    <w:name w:val="Table des matières MODÈLE"/>
    <w:rsid w:val="009F59F4"/>
    <w:pPr>
      <w:spacing w:after="120" w:line="260" w:lineRule="exact"/>
      <w:ind w:left="1267"/>
      <w:jc w:val="both"/>
    </w:pPr>
    <w:rPr>
      <w:rFonts w:ascii="Arial" w:eastAsia="Calibri" w:hAnsi="Arial" w:cs="Times New Roman"/>
      <w:sz w:val="20"/>
      <w:lang w:eastAsia="en-US"/>
    </w:rPr>
  </w:style>
  <w:style w:type="paragraph" w:customStyle="1" w:styleId="7C2F3A60CA93424A97DBA898AF5A5E3F">
    <w:name w:val="7C2F3A60CA93424A97DBA898AF5A5E3F"/>
    <w:rsid w:val="009F59F4"/>
  </w:style>
  <w:style w:type="paragraph" w:customStyle="1" w:styleId="5F23C5B17E1D4A62A52E619BDA353BF5">
    <w:name w:val="5F23C5B17E1D4A62A52E619BDA353BF5"/>
    <w:rsid w:val="009F59F4"/>
  </w:style>
  <w:style w:type="paragraph" w:styleId="En-tte">
    <w:name w:val="header"/>
    <w:basedOn w:val="Normal"/>
    <w:link w:val="En-tteCar"/>
    <w:uiPriority w:val="99"/>
    <w:rsid w:val="00A53152"/>
    <w:pPr>
      <w:tabs>
        <w:tab w:val="center" w:pos="4320"/>
        <w:tab w:val="right" w:pos="8640"/>
      </w:tabs>
      <w:spacing w:after="0" w:line="240" w:lineRule="auto"/>
    </w:pPr>
    <w:rPr>
      <w:rFonts w:eastAsiaTheme="minorHAnsi"/>
      <w:lang w:eastAsia="en-US"/>
    </w:rPr>
  </w:style>
  <w:style w:type="character" w:customStyle="1" w:styleId="En-tteCar">
    <w:name w:val="En-tête Car"/>
    <w:basedOn w:val="Policepardfaut"/>
    <w:link w:val="En-tte"/>
    <w:uiPriority w:val="99"/>
    <w:rsid w:val="00A53152"/>
    <w:rPr>
      <w:rFonts w:eastAsiaTheme="minorHAnsi"/>
      <w:lang w:eastAsia="en-US"/>
    </w:rPr>
  </w:style>
  <w:style w:type="paragraph" w:customStyle="1" w:styleId="tableautexte">
    <w:name w:val="_tableau_texte"/>
    <w:qFormat/>
    <w:rsid w:val="00C915DB"/>
    <w:pPr>
      <w:spacing w:before="80" w:after="80" w:line="240" w:lineRule="exact"/>
      <w:ind w:right="60"/>
    </w:pPr>
    <w:rPr>
      <w:rFonts w:ascii="Arial" w:eastAsia="Times New Roman" w:hAnsi="Arial" w:cs="Times New Roman"/>
      <w:sz w:val="18"/>
      <w:lang w:eastAsia="en-US"/>
    </w:rPr>
  </w:style>
  <w:style w:type="table" w:customStyle="1" w:styleId="TableauMODLE">
    <w:name w:val="Tableau MODÈLE"/>
    <w:basedOn w:val="TableauNormal"/>
    <w:uiPriority w:val="99"/>
    <w:rsid w:val="00C915DB"/>
    <w:pPr>
      <w:spacing w:after="0" w:line="240" w:lineRule="auto"/>
    </w:pPr>
    <w:rPr>
      <w:rFonts w:eastAsiaTheme="minorHAnsi"/>
      <w:lang w:eastAsia="en-US"/>
    </w:rPr>
    <w:tblPr>
      <w:tblStyleRowBandSize w:val="1"/>
      <w:tblBorders>
        <w:bottom w:val="single" w:sz="4" w:space="0" w:color="ED7D31" w:themeColor="accent2"/>
        <w:insideH w:val="single" w:sz="4" w:space="0" w:color="ED7D31" w:themeColor="accent2"/>
        <w:insideV w:val="single" w:sz="4" w:space="0" w:color="ED7D31" w:themeColor="accent2"/>
      </w:tblBorders>
    </w:tblPr>
    <w:tcPr>
      <w:tcMar>
        <w:top w:w="86" w:type="dxa"/>
        <w:left w:w="173" w:type="dxa"/>
        <w:bottom w:w="86" w:type="dxa"/>
        <w:right w:w="173" w:type="dxa"/>
      </w:tcMar>
    </w:tcPr>
    <w:tblStylePr w:type="firstRow">
      <w:tblPr/>
      <w:tcPr>
        <w:tcBorders>
          <w:top w:val="nil"/>
          <w:left w:val="nil"/>
          <w:bottom w:val="single" w:sz="12" w:space="0" w:color="ED7D31" w:themeColor="accent2"/>
          <w:right w:val="nil"/>
          <w:insideH w:val="nil"/>
          <w:insideV w:val="nil"/>
          <w:tl2br w:val="nil"/>
          <w:tr2bl w:val="nil"/>
        </w:tcBorders>
        <w:shd w:val="clear" w:color="auto" w:fill="4472C4" w:themeFill="accent1"/>
      </w:tcPr>
    </w:tblStylePr>
    <w:tblStylePr w:type="lastRow">
      <w:tblPr/>
      <w:tcPr>
        <w:tcBorders>
          <w:top w:val="nil"/>
          <w:left w:val="nil"/>
          <w:bottom w:val="single" w:sz="12" w:space="0" w:color="ED7D31" w:themeColor="accent2"/>
          <w:right w:val="nil"/>
          <w:insideH w:val="nil"/>
          <w:insideV w:val="single" w:sz="4" w:space="0" w:color="ED7D31" w:themeColor="accent2"/>
          <w:tl2br w:val="nil"/>
          <w:tr2bl w:val="nil"/>
        </w:tcBorders>
        <w:shd w:val="clear" w:color="auto" w:fill="B7C8D3"/>
        <w:tcMar>
          <w:top w:w="29" w:type="dxa"/>
          <w:left w:w="173" w:type="dxa"/>
          <w:bottom w:w="29" w:type="dxa"/>
          <w:right w:w="173" w:type="dxa"/>
        </w:tcMar>
      </w:tcPr>
    </w:tblStylePr>
    <w:tblStylePr w:type="band1Horz">
      <w:tblPr/>
      <w:tcPr>
        <w:tcBorders>
          <w:top w:val="single" w:sz="4" w:space="0" w:color="ED7D31" w:themeColor="accent2"/>
          <w:left w:val="nil"/>
          <w:bottom w:val="single" w:sz="4" w:space="0" w:color="ED7D31" w:themeColor="accent2"/>
          <w:right w:val="nil"/>
          <w:insideH w:val="nil"/>
          <w:insideV w:val="single" w:sz="4" w:space="0" w:color="ED7D31" w:themeColor="accent2"/>
          <w:tl2br w:val="nil"/>
          <w:tr2bl w:val="nil"/>
        </w:tcBorders>
      </w:tcPr>
    </w:tblStylePr>
    <w:tblStylePr w:type="band2Horz">
      <w:tblPr/>
      <w:tcPr>
        <w:tcBorders>
          <w:top w:val="single" w:sz="4" w:space="0" w:color="ED7D31" w:themeColor="accent2"/>
          <w:left w:val="nil"/>
          <w:bottom w:val="single" w:sz="4" w:space="0" w:color="ED7D31" w:themeColor="accent2"/>
          <w:right w:val="nil"/>
          <w:insideH w:val="nil"/>
          <w:insideV w:val="single" w:sz="4" w:space="0" w:color="ED7D31" w:themeColor="accent2"/>
          <w:tl2br w:val="nil"/>
          <w:tr2bl w:val="nil"/>
        </w:tcBorders>
        <w:shd w:val="clear" w:color="auto" w:fill="FFC000" w:themeFill="accent4"/>
      </w:tcPr>
    </w:tblStylePr>
  </w:style>
  <w:style w:type="paragraph" w:customStyle="1" w:styleId="en-tetedate">
    <w:name w:val="_en-tete_date"/>
    <w:qFormat/>
    <w:rsid w:val="009F59F4"/>
    <w:pPr>
      <w:spacing w:after="0" w:line="180" w:lineRule="exact"/>
    </w:pPr>
    <w:rPr>
      <w:rFonts w:ascii="Arial" w:eastAsia="Calibri" w:hAnsi="Arial" w:cs="Arial"/>
      <w:caps/>
      <w:sz w:val="14"/>
      <w:szCs w:val="14"/>
      <w:lang w:eastAsia="en-US"/>
    </w:rPr>
  </w:style>
  <w:style w:type="paragraph" w:customStyle="1" w:styleId="PagefinaleLogoOPC">
    <w:name w:val="Page finale : Logo OPC"/>
    <w:rsid w:val="009F59F4"/>
  </w:style>
  <w:style w:type="paragraph" w:customStyle="1" w:styleId="en-tetetitre">
    <w:name w:val="_en-tete_titre"/>
    <w:qFormat/>
    <w:rsid w:val="009F59F4"/>
    <w:pPr>
      <w:spacing w:after="0" w:line="180" w:lineRule="exact"/>
    </w:pPr>
    <w:rPr>
      <w:rFonts w:ascii="Arial" w:eastAsia="Calibri" w:hAnsi="Arial" w:cs="Arial"/>
      <w:b/>
      <w:caps/>
      <w:sz w:val="14"/>
      <w:szCs w:val="14"/>
      <w:lang w:eastAsia="en-US"/>
    </w:rPr>
  </w:style>
  <w:style w:type="paragraph" w:styleId="Pieddepage">
    <w:name w:val="footer"/>
    <w:basedOn w:val="Normal"/>
    <w:link w:val="PieddepageCar"/>
    <w:uiPriority w:val="99"/>
    <w:semiHidden/>
    <w:rsid w:val="00A53152"/>
    <w:pPr>
      <w:tabs>
        <w:tab w:val="center" w:pos="4320"/>
        <w:tab w:val="right" w:pos="8640"/>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A53152"/>
    <w:rPr>
      <w:rFonts w:eastAsiaTheme="minorHAnsi"/>
      <w:lang w:eastAsia="en-US"/>
    </w:rPr>
  </w:style>
  <w:style w:type="paragraph" w:customStyle="1" w:styleId="CouvertureLogoGouvernement">
    <w:name w:val="Couverture : Logo Gouvernement"/>
    <w:rsid w:val="00D21728"/>
  </w:style>
  <w:style w:type="paragraph" w:customStyle="1" w:styleId="56528CCE30CE47EAB786161DF99A59F4">
    <w:name w:val="56528CCE30CE47EAB786161DF99A59F4"/>
    <w:rsid w:val="00FD2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Couleurs OPC">
      <a:dk1>
        <a:sysClr val="windowText" lastClr="000000"/>
      </a:dk1>
      <a:lt1>
        <a:sysClr val="window" lastClr="FFFFFF"/>
      </a:lt1>
      <a:dk2>
        <a:srgbClr val="44546A"/>
      </a:dk2>
      <a:lt2>
        <a:srgbClr val="E7E6E6"/>
      </a:lt2>
      <a:accent1>
        <a:srgbClr val="C9D26F"/>
      </a:accent1>
      <a:accent2>
        <a:srgbClr val="0A5080"/>
      </a:accent2>
      <a:accent3>
        <a:srgbClr val="B7C8D3"/>
      </a:accent3>
      <a:accent4>
        <a:srgbClr val="EAEAEA"/>
      </a:accent4>
      <a:accent5>
        <a:srgbClr val="7D8BAD"/>
      </a:accent5>
      <a:accent6>
        <a:srgbClr val="3D3D3D"/>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047217-4948-42F4-94CB-BFCF0082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2255</Words>
  <Characters>11730</Characters>
  <Application>Microsoft Office Word</Application>
  <DocSecurity>0</DocSecurity>
  <Lines>451</Lines>
  <Paragraphs>517</Paragraphs>
  <ScaleCrop>false</ScaleCrop>
  <HeadingPairs>
    <vt:vector size="2" baseType="variant">
      <vt:variant>
        <vt:lpstr>Titre</vt:lpstr>
      </vt:variant>
      <vt:variant>
        <vt:i4>1</vt:i4>
      </vt:variant>
    </vt:vector>
  </HeadingPairs>
  <TitlesOfParts>
    <vt:vector size="1" baseType="lpstr">
      <vt:lpstr>Durabilité et réparabilité des biens</vt:lpstr>
    </vt:vector>
  </TitlesOfParts>
  <Company>Office de la protection du consommateur, gouvernement du Québec</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Durabilité et réparabilité des biens</dc:title>
  <dc:subject>Insérer description du document</dc:subject>
  <dc:creator>Office de la protection du consommateur - gouvernement du Québec</dc:creator>
  <cp:keywords/>
  <dc:description/>
  <cp:lastModifiedBy>Michaud, Amélie</cp:lastModifiedBy>
  <cp:revision>3</cp:revision>
  <cp:lastPrinted>2019-10-29T13:46:00Z</cp:lastPrinted>
  <dcterms:created xsi:type="dcterms:W3CDTF">2019-10-31T13:17:00Z</dcterms:created>
  <dcterms:modified xsi:type="dcterms:W3CDTF">2019-10-31T13:19:00Z</dcterms:modified>
</cp:coreProperties>
</file>