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1C" w:rsidRDefault="00C5791C" w:rsidP="00D37E62">
      <w:pPr>
        <w:pBdr>
          <w:bottom w:val="single" w:sz="4" w:space="1" w:color="auto"/>
        </w:pBdr>
        <w:rPr>
          <w:rFonts w:cs="Arial"/>
          <w:b/>
          <w:sz w:val="28"/>
          <w:szCs w:val="22"/>
        </w:rPr>
      </w:pPr>
    </w:p>
    <w:p w:rsidR="00C5791C" w:rsidRDefault="00C5791C" w:rsidP="00307E6E">
      <w:pPr>
        <w:pBdr>
          <w:bottom w:val="single" w:sz="4" w:space="1" w:color="auto"/>
        </w:pBdr>
        <w:jc w:val="center"/>
        <w:rPr>
          <w:rFonts w:cs="Arial"/>
          <w:b/>
          <w:sz w:val="28"/>
          <w:szCs w:val="22"/>
        </w:rPr>
      </w:pPr>
    </w:p>
    <w:p w:rsidR="00992BE8" w:rsidRDefault="00992BE8" w:rsidP="00580C64">
      <w:pPr>
        <w:pBdr>
          <w:bottom w:val="single" w:sz="4" w:space="1" w:color="auto"/>
        </w:pBdr>
        <w:spacing w:after="240"/>
        <w:jc w:val="center"/>
        <w:rPr>
          <w:rFonts w:cs="Arial"/>
          <w:b/>
          <w:sz w:val="28"/>
          <w:szCs w:val="22"/>
        </w:rPr>
      </w:pPr>
      <w:r>
        <w:rPr>
          <w:rFonts w:cs="Arial"/>
          <w:b/>
          <w:sz w:val="28"/>
          <w:szCs w:val="22"/>
        </w:rPr>
        <w:t>RÉVISION DE LA LOI SUR LA PROTECTION DU CONSOMMATEUR</w:t>
      </w:r>
    </w:p>
    <w:p w:rsidR="00992BE8" w:rsidRDefault="00992BE8" w:rsidP="00307E6E">
      <w:pPr>
        <w:pBdr>
          <w:bottom w:val="single" w:sz="4" w:space="1" w:color="auto"/>
        </w:pBdr>
        <w:jc w:val="center"/>
        <w:rPr>
          <w:rFonts w:cs="Arial"/>
          <w:b/>
          <w:sz w:val="28"/>
          <w:szCs w:val="22"/>
        </w:rPr>
      </w:pPr>
      <w:r>
        <w:rPr>
          <w:rFonts w:cs="Arial"/>
          <w:b/>
          <w:sz w:val="28"/>
          <w:szCs w:val="22"/>
        </w:rPr>
        <w:t>CRÉDIT À LA CONSOMMATION</w:t>
      </w:r>
      <w:r w:rsidR="007E3BF7">
        <w:rPr>
          <w:rFonts w:cs="Arial"/>
          <w:b/>
          <w:sz w:val="28"/>
          <w:szCs w:val="22"/>
        </w:rPr>
        <w:t xml:space="preserve"> </w:t>
      </w:r>
      <w:r>
        <w:rPr>
          <w:rFonts w:cs="Arial"/>
          <w:b/>
          <w:sz w:val="28"/>
          <w:szCs w:val="22"/>
        </w:rPr>
        <w:br/>
      </w:r>
    </w:p>
    <w:p w:rsidR="00C5791C" w:rsidRDefault="00C5791C" w:rsidP="00307E6E">
      <w:pPr>
        <w:pBdr>
          <w:bottom w:val="single" w:sz="4" w:space="1" w:color="auto"/>
        </w:pBdr>
        <w:jc w:val="center"/>
        <w:rPr>
          <w:rFonts w:cs="Arial"/>
          <w:b/>
          <w:sz w:val="28"/>
          <w:szCs w:val="22"/>
        </w:rPr>
      </w:pPr>
    </w:p>
    <w:p w:rsidR="00992BE8" w:rsidRDefault="00992BE8" w:rsidP="00307E6E">
      <w:pPr>
        <w:pBdr>
          <w:bottom w:val="single" w:sz="4" w:space="1" w:color="auto"/>
        </w:pBdr>
        <w:jc w:val="center"/>
        <w:rPr>
          <w:rFonts w:cs="Arial"/>
          <w:b/>
          <w:sz w:val="28"/>
          <w:szCs w:val="22"/>
        </w:rPr>
      </w:pPr>
      <w:r>
        <w:rPr>
          <w:rFonts w:cs="Arial"/>
          <w:b/>
          <w:sz w:val="28"/>
          <w:szCs w:val="22"/>
        </w:rPr>
        <w:br/>
        <w:t>DOCUMENT DE CONSULTATION</w:t>
      </w:r>
    </w:p>
    <w:p w:rsidR="00992BE8" w:rsidRDefault="00992BE8" w:rsidP="00307E6E">
      <w:pPr>
        <w:pBdr>
          <w:bottom w:val="single" w:sz="4" w:space="1" w:color="auto"/>
        </w:pBdr>
        <w:jc w:val="center"/>
        <w:rPr>
          <w:rFonts w:cs="Arial"/>
          <w:b/>
          <w:sz w:val="28"/>
          <w:szCs w:val="22"/>
        </w:rPr>
      </w:pPr>
    </w:p>
    <w:p w:rsidR="00992BE8" w:rsidRDefault="00992BE8" w:rsidP="00307E6E">
      <w:pPr>
        <w:pBdr>
          <w:bottom w:val="single" w:sz="4" w:space="1" w:color="auto"/>
        </w:pBdr>
        <w:jc w:val="center"/>
        <w:rPr>
          <w:rFonts w:cs="Arial"/>
          <w:b/>
          <w:sz w:val="28"/>
          <w:szCs w:val="22"/>
        </w:rPr>
      </w:pPr>
    </w:p>
    <w:p w:rsidR="00992BE8" w:rsidRDefault="00992BE8" w:rsidP="00307E6E">
      <w:pPr>
        <w:pBdr>
          <w:bottom w:val="single" w:sz="4" w:space="1" w:color="auto"/>
        </w:pBdr>
        <w:jc w:val="center"/>
        <w:rPr>
          <w:rFonts w:cs="Arial"/>
          <w:b/>
          <w:sz w:val="28"/>
          <w:szCs w:val="22"/>
        </w:rPr>
      </w:pPr>
    </w:p>
    <w:p w:rsidR="00992BE8" w:rsidRDefault="00992BE8" w:rsidP="00307E6E">
      <w:pPr>
        <w:pBdr>
          <w:bottom w:val="single" w:sz="4" w:space="1" w:color="auto"/>
        </w:pBdr>
        <w:jc w:val="center"/>
        <w:rPr>
          <w:rFonts w:cs="Arial"/>
          <w:b/>
          <w:sz w:val="28"/>
          <w:szCs w:val="22"/>
        </w:rPr>
      </w:pPr>
    </w:p>
    <w:p w:rsidR="00142410" w:rsidRDefault="00142410" w:rsidP="00142410">
      <w:pPr>
        <w:pStyle w:val="TM1"/>
        <w:tabs>
          <w:tab w:val="right" w:leader="dot" w:pos="18710"/>
        </w:tabs>
        <w:rPr>
          <w:lang w:val="fr-FR"/>
        </w:rPr>
      </w:pPr>
    </w:p>
    <w:p w:rsidR="00142410" w:rsidRDefault="00142410" w:rsidP="00142410">
      <w:pPr>
        <w:pStyle w:val="TM2"/>
        <w:tabs>
          <w:tab w:val="left" w:pos="880"/>
          <w:tab w:val="right" w:leader="dot" w:pos="18710"/>
        </w:tabs>
        <w:rPr>
          <w:rFonts w:asciiTheme="minorHAnsi" w:eastAsiaTheme="minorEastAsia" w:hAnsiTheme="minorHAnsi" w:cstheme="minorBidi"/>
          <w:noProof/>
          <w:sz w:val="22"/>
          <w:szCs w:val="22"/>
        </w:rPr>
      </w:pPr>
      <w:r>
        <w:rPr>
          <w:lang w:val="fr-FR"/>
        </w:rPr>
        <w:fldChar w:fldCharType="begin"/>
      </w:r>
      <w:r>
        <w:rPr>
          <w:lang w:val="fr-FR"/>
        </w:rPr>
        <w:instrText xml:space="preserve"> TOC \o "1-3" \h \z \u </w:instrText>
      </w:r>
      <w:r>
        <w:rPr>
          <w:lang w:val="fr-FR"/>
        </w:rPr>
        <w:fldChar w:fldCharType="separate"/>
      </w:r>
      <w:bookmarkStart w:id="0" w:name="_GoBack"/>
      <w:r w:rsidR="00A5056A">
        <w:rPr>
          <w:rStyle w:val="Lienhypertexte"/>
          <w:noProof/>
        </w:rPr>
        <w:fldChar w:fldCharType="begin"/>
      </w:r>
      <w:r w:rsidR="00A5056A">
        <w:rPr>
          <w:rStyle w:val="Lienhypertexte"/>
          <w:noProof/>
        </w:rPr>
        <w:instrText xml:space="preserve"> HYPERLINK \l "_Toc536006783" </w:instrText>
      </w:r>
      <w:r w:rsidR="00A5056A">
        <w:rPr>
          <w:rStyle w:val="Lienhypertexte"/>
          <w:noProof/>
        </w:rPr>
      </w:r>
      <w:r w:rsidR="00A5056A">
        <w:rPr>
          <w:rStyle w:val="Lienhypertexte"/>
          <w:noProof/>
        </w:rPr>
        <w:fldChar w:fldCharType="separate"/>
      </w:r>
      <w:r w:rsidRPr="00821A76">
        <w:rPr>
          <w:rStyle w:val="Lienhypertexte"/>
          <w:noProof/>
        </w:rPr>
        <w:t>1.</w:t>
      </w:r>
      <w:r>
        <w:rPr>
          <w:rFonts w:asciiTheme="minorHAnsi" w:eastAsiaTheme="minorEastAsia" w:hAnsiTheme="minorHAnsi" w:cstheme="minorBidi"/>
          <w:noProof/>
          <w:sz w:val="22"/>
          <w:szCs w:val="22"/>
        </w:rPr>
        <w:tab/>
      </w:r>
      <w:r w:rsidRPr="00821A76">
        <w:rPr>
          <w:rStyle w:val="Lienhypertexte"/>
          <w:noProof/>
        </w:rPr>
        <w:t>Pratiques affectant particulièrement les consommateurs dans le secteur automobile</w:t>
      </w:r>
      <w:r>
        <w:rPr>
          <w:noProof/>
          <w:webHidden/>
        </w:rPr>
        <w:tab/>
      </w:r>
      <w:r>
        <w:rPr>
          <w:noProof/>
          <w:webHidden/>
        </w:rPr>
        <w:fldChar w:fldCharType="begin"/>
      </w:r>
      <w:r>
        <w:rPr>
          <w:noProof/>
          <w:webHidden/>
        </w:rPr>
        <w:instrText xml:space="preserve"> PAGEREF _Toc536006783 \h </w:instrText>
      </w:r>
      <w:r>
        <w:rPr>
          <w:noProof/>
          <w:webHidden/>
        </w:rPr>
      </w:r>
      <w:r>
        <w:rPr>
          <w:noProof/>
          <w:webHidden/>
        </w:rPr>
        <w:fldChar w:fldCharType="separate"/>
      </w:r>
      <w:r w:rsidR="00A5056A">
        <w:rPr>
          <w:noProof/>
          <w:webHidden/>
        </w:rPr>
        <w:t>3</w:t>
      </w:r>
      <w:r>
        <w:rPr>
          <w:noProof/>
          <w:webHidden/>
        </w:rPr>
        <w:fldChar w:fldCharType="end"/>
      </w:r>
      <w:r w:rsidR="00A5056A">
        <w:rPr>
          <w:noProof/>
        </w:rPr>
        <w:fldChar w:fldCharType="end"/>
      </w:r>
    </w:p>
    <w:p w:rsidR="00142410" w:rsidRDefault="00A5056A" w:rsidP="00142410">
      <w:pPr>
        <w:pStyle w:val="TM2"/>
        <w:tabs>
          <w:tab w:val="left" w:pos="880"/>
          <w:tab w:val="right" w:leader="dot" w:pos="18710"/>
        </w:tabs>
        <w:rPr>
          <w:rFonts w:asciiTheme="minorHAnsi" w:eastAsiaTheme="minorEastAsia" w:hAnsiTheme="minorHAnsi" w:cstheme="minorBidi"/>
          <w:noProof/>
          <w:sz w:val="22"/>
          <w:szCs w:val="22"/>
        </w:rPr>
      </w:pPr>
      <w:hyperlink w:anchor="_Toc536006784" w:history="1">
        <w:r w:rsidR="00142410" w:rsidRPr="00821A76">
          <w:rPr>
            <w:rStyle w:val="Lienhypertexte"/>
            <w:noProof/>
          </w:rPr>
          <w:t>2.</w:t>
        </w:r>
        <w:r w:rsidR="00142410">
          <w:rPr>
            <w:rFonts w:asciiTheme="minorHAnsi" w:eastAsiaTheme="minorEastAsia" w:hAnsiTheme="minorHAnsi" w:cstheme="minorBidi"/>
            <w:noProof/>
            <w:sz w:val="22"/>
            <w:szCs w:val="22"/>
          </w:rPr>
          <w:tab/>
        </w:r>
        <w:r w:rsidR="00142410" w:rsidRPr="00821A76">
          <w:rPr>
            <w:rStyle w:val="Lienhypertexte"/>
            <w:noProof/>
          </w:rPr>
          <w:t>Pratiques affectant plus particulièrement les consommateurs plus vulnérables</w:t>
        </w:r>
        <w:r w:rsidR="00142410">
          <w:rPr>
            <w:noProof/>
            <w:webHidden/>
          </w:rPr>
          <w:tab/>
        </w:r>
        <w:r w:rsidR="00142410">
          <w:rPr>
            <w:noProof/>
            <w:webHidden/>
          </w:rPr>
          <w:fldChar w:fldCharType="begin"/>
        </w:r>
        <w:r w:rsidR="00142410">
          <w:rPr>
            <w:noProof/>
            <w:webHidden/>
          </w:rPr>
          <w:instrText xml:space="preserve"> PAGEREF _Toc536006784 \h </w:instrText>
        </w:r>
        <w:r w:rsidR="00142410">
          <w:rPr>
            <w:noProof/>
            <w:webHidden/>
          </w:rPr>
        </w:r>
        <w:r w:rsidR="00142410">
          <w:rPr>
            <w:noProof/>
            <w:webHidden/>
          </w:rPr>
          <w:fldChar w:fldCharType="separate"/>
        </w:r>
        <w:r>
          <w:rPr>
            <w:noProof/>
            <w:webHidden/>
          </w:rPr>
          <w:t>11</w:t>
        </w:r>
        <w:r w:rsidR="00142410">
          <w:rPr>
            <w:noProof/>
            <w:webHidden/>
          </w:rPr>
          <w:fldChar w:fldCharType="end"/>
        </w:r>
      </w:hyperlink>
    </w:p>
    <w:p w:rsidR="00142410" w:rsidRDefault="00A5056A" w:rsidP="00142410">
      <w:pPr>
        <w:pStyle w:val="TM2"/>
        <w:tabs>
          <w:tab w:val="left" w:pos="880"/>
          <w:tab w:val="right" w:leader="dot" w:pos="18710"/>
        </w:tabs>
        <w:rPr>
          <w:rFonts w:asciiTheme="minorHAnsi" w:eastAsiaTheme="minorEastAsia" w:hAnsiTheme="minorHAnsi" w:cstheme="minorBidi"/>
          <w:noProof/>
          <w:sz w:val="22"/>
          <w:szCs w:val="22"/>
        </w:rPr>
      </w:pPr>
      <w:hyperlink w:anchor="_Toc536006785" w:history="1">
        <w:r w:rsidR="00142410" w:rsidRPr="00821A76">
          <w:rPr>
            <w:rStyle w:val="Lienhypertexte"/>
            <w:noProof/>
          </w:rPr>
          <w:t>3.</w:t>
        </w:r>
        <w:r w:rsidR="00142410">
          <w:rPr>
            <w:rFonts w:asciiTheme="minorHAnsi" w:eastAsiaTheme="minorEastAsia" w:hAnsiTheme="minorHAnsi" w:cstheme="minorBidi"/>
            <w:noProof/>
            <w:sz w:val="22"/>
            <w:szCs w:val="22"/>
          </w:rPr>
          <w:tab/>
        </w:r>
        <w:r w:rsidR="00142410" w:rsidRPr="00821A76">
          <w:rPr>
            <w:rStyle w:val="Lienhypertexte"/>
            <w:noProof/>
          </w:rPr>
          <w:t>Contrat de crédit – dispositions générales</w:t>
        </w:r>
        <w:r w:rsidR="00142410">
          <w:rPr>
            <w:noProof/>
            <w:webHidden/>
          </w:rPr>
          <w:tab/>
        </w:r>
        <w:r w:rsidR="00142410">
          <w:rPr>
            <w:noProof/>
            <w:webHidden/>
          </w:rPr>
          <w:fldChar w:fldCharType="begin"/>
        </w:r>
        <w:r w:rsidR="00142410">
          <w:rPr>
            <w:noProof/>
            <w:webHidden/>
          </w:rPr>
          <w:instrText xml:space="preserve"> PAGEREF _Toc536006785 \h </w:instrText>
        </w:r>
        <w:r w:rsidR="00142410">
          <w:rPr>
            <w:noProof/>
            <w:webHidden/>
          </w:rPr>
        </w:r>
        <w:r w:rsidR="00142410">
          <w:rPr>
            <w:noProof/>
            <w:webHidden/>
          </w:rPr>
          <w:fldChar w:fldCharType="separate"/>
        </w:r>
        <w:r>
          <w:rPr>
            <w:noProof/>
            <w:webHidden/>
          </w:rPr>
          <w:t>14</w:t>
        </w:r>
        <w:r w:rsidR="00142410">
          <w:rPr>
            <w:noProof/>
            <w:webHidden/>
          </w:rPr>
          <w:fldChar w:fldCharType="end"/>
        </w:r>
      </w:hyperlink>
    </w:p>
    <w:p w:rsidR="00142410" w:rsidRDefault="00A5056A" w:rsidP="00142410">
      <w:pPr>
        <w:pStyle w:val="TM2"/>
        <w:tabs>
          <w:tab w:val="left" w:pos="880"/>
          <w:tab w:val="right" w:leader="dot" w:pos="18710"/>
        </w:tabs>
        <w:rPr>
          <w:rFonts w:asciiTheme="minorHAnsi" w:eastAsiaTheme="minorEastAsia" w:hAnsiTheme="minorHAnsi" w:cstheme="minorBidi"/>
          <w:noProof/>
          <w:sz w:val="22"/>
          <w:szCs w:val="22"/>
        </w:rPr>
      </w:pPr>
      <w:hyperlink w:anchor="_Toc536006786" w:history="1">
        <w:r w:rsidR="00142410" w:rsidRPr="00821A76">
          <w:rPr>
            <w:rStyle w:val="Lienhypertexte"/>
            <w:noProof/>
          </w:rPr>
          <w:t>4.</w:t>
        </w:r>
        <w:r w:rsidR="00142410">
          <w:rPr>
            <w:rFonts w:asciiTheme="minorHAnsi" w:eastAsiaTheme="minorEastAsia" w:hAnsiTheme="minorHAnsi" w:cstheme="minorBidi"/>
            <w:noProof/>
            <w:sz w:val="22"/>
            <w:szCs w:val="22"/>
          </w:rPr>
          <w:tab/>
        </w:r>
        <w:r w:rsidR="00142410" w:rsidRPr="00821A76">
          <w:rPr>
            <w:rStyle w:val="Lienhypertexte"/>
            <w:noProof/>
          </w:rPr>
          <w:t>Carte de débit</w:t>
        </w:r>
        <w:r w:rsidR="00142410">
          <w:rPr>
            <w:noProof/>
            <w:webHidden/>
          </w:rPr>
          <w:tab/>
        </w:r>
        <w:r w:rsidR="00142410">
          <w:rPr>
            <w:noProof/>
            <w:webHidden/>
          </w:rPr>
          <w:fldChar w:fldCharType="begin"/>
        </w:r>
        <w:r w:rsidR="00142410">
          <w:rPr>
            <w:noProof/>
            <w:webHidden/>
          </w:rPr>
          <w:instrText xml:space="preserve"> PAGEREF _Toc536006786 \h </w:instrText>
        </w:r>
        <w:r w:rsidR="00142410">
          <w:rPr>
            <w:noProof/>
            <w:webHidden/>
          </w:rPr>
        </w:r>
        <w:r w:rsidR="00142410">
          <w:rPr>
            <w:noProof/>
            <w:webHidden/>
          </w:rPr>
          <w:fldChar w:fldCharType="separate"/>
        </w:r>
        <w:r>
          <w:rPr>
            <w:noProof/>
            <w:webHidden/>
          </w:rPr>
          <w:t>17</w:t>
        </w:r>
        <w:r w:rsidR="00142410">
          <w:rPr>
            <w:noProof/>
            <w:webHidden/>
          </w:rPr>
          <w:fldChar w:fldCharType="end"/>
        </w:r>
      </w:hyperlink>
    </w:p>
    <w:p w:rsidR="00142410" w:rsidRDefault="00A5056A" w:rsidP="00142410">
      <w:pPr>
        <w:pStyle w:val="TM2"/>
        <w:tabs>
          <w:tab w:val="left" w:pos="880"/>
          <w:tab w:val="right" w:leader="dot" w:pos="18710"/>
        </w:tabs>
        <w:rPr>
          <w:rFonts w:asciiTheme="minorHAnsi" w:eastAsiaTheme="minorEastAsia" w:hAnsiTheme="minorHAnsi" w:cstheme="minorBidi"/>
          <w:noProof/>
          <w:sz w:val="22"/>
          <w:szCs w:val="22"/>
        </w:rPr>
      </w:pPr>
      <w:hyperlink w:anchor="_Toc536006787" w:history="1">
        <w:r w:rsidR="00142410" w:rsidRPr="00821A76">
          <w:rPr>
            <w:rStyle w:val="Lienhypertexte"/>
            <w:noProof/>
          </w:rPr>
          <w:t>5.</w:t>
        </w:r>
        <w:r w:rsidR="00142410">
          <w:rPr>
            <w:rFonts w:asciiTheme="minorHAnsi" w:eastAsiaTheme="minorEastAsia" w:hAnsiTheme="minorHAnsi" w:cstheme="minorBidi"/>
            <w:noProof/>
            <w:sz w:val="22"/>
            <w:szCs w:val="22"/>
          </w:rPr>
          <w:tab/>
        </w:r>
        <w:r w:rsidR="00142410" w:rsidRPr="00821A76">
          <w:rPr>
            <w:rStyle w:val="Lienhypertexte"/>
            <w:noProof/>
          </w:rPr>
          <w:t>Publicité et pratiques de commerce</w:t>
        </w:r>
        <w:r w:rsidR="00142410">
          <w:rPr>
            <w:noProof/>
            <w:webHidden/>
          </w:rPr>
          <w:tab/>
        </w:r>
        <w:r w:rsidR="00142410">
          <w:rPr>
            <w:noProof/>
            <w:webHidden/>
          </w:rPr>
          <w:fldChar w:fldCharType="begin"/>
        </w:r>
        <w:r w:rsidR="00142410">
          <w:rPr>
            <w:noProof/>
            <w:webHidden/>
          </w:rPr>
          <w:instrText xml:space="preserve"> PAGEREF _Toc536006787 \h </w:instrText>
        </w:r>
        <w:r w:rsidR="00142410">
          <w:rPr>
            <w:noProof/>
            <w:webHidden/>
          </w:rPr>
        </w:r>
        <w:r w:rsidR="00142410">
          <w:rPr>
            <w:noProof/>
            <w:webHidden/>
          </w:rPr>
          <w:fldChar w:fldCharType="separate"/>
        </w:r>
        <w:r>
          <w:rPr>
            <w:noProof/>
            <w:webHidden/>
          </w:rPr>
          <w:t>18</w:t>
        </w:r>
        <w:r w:rsidR="00142410">
          <w:rPr>
            <w:noProof/>
            <w:webHidden/>
          </w:rPr>
          <w:fldChar w:fldCharType="end"/>
        </w:r>
      </w:hyperlink>
    </w:p>
    <w:p w:rsidR="00142410" w:rsidRDefault="00A5056A" w:rsidP="00142410">
      <w:pPr>
        <w:pStyle w:val="TM2"/>
        <w:tabs>
          <w:tab w:val="left" w:pos="880"/>
          <w:tab w:val="right" w:leader="dot" w:pos="18710"/>
        </w:tabs>
        <w:rPr>
          <w:rFonts w:asciiTheme="minorHAnsi" w:eastAsiaTheme="minorEastAsia" w:hAnsiTheme="minorHAnsi" w:cstheme="minorBidi"/>
          <w:noProof/>
          <w:sz w:val="22"/>
          <w:szCs w:val="22"/>
        </w:rPr>
      </w:pPr>
      <w:hyperlink w:anchor="_Toc536006788" w:history="1">
        <w:r w:rsidR="00142410" w:rsidRPr="00821A76">
          <w:rPr>
            <w:rStyle w:val="Lienhypertexte"/>
            <w:noProof/>
          </w:rPr>
          <w:t>6.</w:t>
        </w:r>
        <w:r w:rsidR="00142410">
          <w:rPr>
            <w:rFonts w:asciiTheme="minorHAnsi" w:eastAsiaTheme="minorEastAsia" w:hAnsiTheme="minorHAnsi" w:cstheme="minorBidi"/>
            <w:noProof/>
            <w:sz w:val="22"/>
            <w:szCs w:val="22"/>
          </w:rPr>
          <w:tab/>
        </w:r>
        <w:r w:rsidR="00142410" w:rsidRPr="00821A76">
          <w:rPr>
            <w:rStyle w:val="Lienhypertexte"/>
            <w:noProof/>
          </w:rPr>
          <w:t>Autres mesures</w:t>
        </w:r>
        <w:r w:rsidR="00142410">
          <w:rPr>
            <w:noProof/>
            <w:webHidden/>
          </w:rPr>
          <w:tab/>
        </w:r>
        <w:r w:rsidR="00142410">
          <w:rPr>
            <w:noProof/>
            <w:webHidden/>
          </w:rPr>
          <w:fldChar w:fldCharType="begin"/>
        </w:r>
        <w:r w:rsidR="00142410">
          <w:rPr>
            <w:noProof/>
            <w:webHidden/>
          </w:rPr>
          <w:instrText xml:space="preserve"> PAGEREF _Toc536006788 \h </w:instrText>
        </w:r>
        <w:r w:rsidR="00142410">
          <w:rPr>
            <w:noProof/>
            <w:webHidden/>
          </w:rPr>
        </w:r>
        <w:r w:rsidR="00142410">
          <w:rPr>
            <w:noProof/>
            <w:webHidden/>
          </w:rPr>
          <w:fldChar w:fldCharType="separate"/>
        </w:r>
        <w:r>
          <w:rPr>
            <w:noProof/>
            <w:webHidden/>
          </w:rPr>
          <w:t>19</w:t>
        </w:r>
        <w:r w:rsidR="00142410">
          <w:rPr>
            <w:noProof/>
            <w:webHidden/>
          </w:rPr>
          <w:fldChar w:fldCharType="end"/>
        </w:r>
      </w:hyperlink>
      <w:bookmarkEnd w:id="0"/>
    </w:p>
    <w:p w:rsidR="00142410" w:rsidRDefault="00142410" w:rsidP="00142410">
      <w:pPr>
        <w:rPr>
          <w:rFonts w:cs="Arial"/>
          <w:sz w:val="20"/>
          <w:szCs w:val="22"/>
        </w:rPr>
      </w:pPr>
      <w:r>
        <w:rPr>
          <w:lang w:val="fr-FR"/>
        </w:rPr>
        <w:fldChar w:fldCharType="end"/>
      </w:r>
    </w:p>
    <w:p w:rsidR="00142410" w:rsidRDefault="00142410" w:rsidP="00142410">
      <w:pPr>
        <w:rPr>
          <w:rFonts w:cs="Arial"/>
          <w:sz w:val="20"/>
          <w:szCs w:val="22"/>
        </w:rPr>
      </w:pPr>
    </w:p>
    <w:p w:rsidR="00142410" w:rsidRDefault="00142410" w:rsidP="00142410">
      <w:pPr>
        <w:rPr>
          <w:rFonts w:cs="Arial"/>
          <w:sz w:val="20"/>
          <w:szCs w:val="22"/>
        </w:rPr>
      </w:pPr>
    </w:p>
    <w:p w:rsidR="00142410" w:rsidRDefault="00142410" w:rsidP="00142410">
      <w:pPr>
        <w:rPr>
          <w:rFonts w:cs="Arial"/>
          <w:sz w:val="20"/>
          <w:szCs w:val="22"/>
        </w:rPr>
      </w:pPr>
    </w:p>
    <w:p w:rsidR="00142410" w:rsidRDefault="00142410" w:rsidP="00142410">
      <w:pPr>
        <w:rPr>
          <w:rFonts w:cs="Arial"/>
          <w:sz w:val="20"/>
          <w:szCs w:val="22"/>
        </w:rPr>
      </w:pPr>
    </w:p>
    <w:p w:rsidR="00142410" w:rsidRDefault="00142410" w:rsidP="00142410">
      <w:pPr>
        <w:rPr>
          <w:rFonts w:cs="Arial"/>
          <w:sz w:val="20"/>
          <w:szCs w:val="22"/>
        </w:rPr>
      </w:pPr>
    </w:p>
    <w:p w:rsidR="00142410" w:rsidRDefault="00142410" w:rsidP="00142410">
      <w:pPr>
        <w:rPr>
          <w:rFonts w:cs="Arial"/>
          <w:sz w:val="20"/>
          <w:szCs w:val="22"/>
        </w:rPr>
      </w:pPr>
    </w:p>
    <w:p w:rsidR="00142410" w:rsidRDefault="00142410" w:rsidP="00142410">
      <w:pPr>
        <w:rPr>
          <w:rFonts w:cs="Arial"/>
          <w:sz w:val="20"/>
          <w:szCs w:val="22"/>
        </w:rPr>
      </w:pPr>
    </w:p>
    <w:p w:rsidR="002924B3" w:rsidRDefault="002924B3" w:rsidP="00142410">
      <w:pPr>
        <w:rPr>
          <w:rFonts w:cs="Arial"/>
        </w:rPr>
      </w:pPr>
    </w:p>
    <w:p w:rsidR="002924B3" w:rsidRDefault="002924B3" w:rsidP="00142410">
      <w:pPr>
        <w:rPr>
          <w:rFonts w:cs="Arial"/>
        </w:rPr>
      </w:pPr>
    </w:p>
    <w:p w:rsidR="002924B3" w:rsidRDefault="002924B3" w:rsidP="00142410">
      <w:pPr>
        <w:rPr>
          <w:rFonts w:cs="Arial"/>
        </w:rPr>
      </w:pPr>
    </w:p>
    <w:p w:rsidR="00110C24" w:rsidRPr="00110C24" w:rsidRDefault="00110C24" w:rsidP="00110C24">
      <w:pPr>
        <w:rPr>
          <w:rFonts w:cs="Arial"/>
        </w:rPr>
      </w:pPr>
      <w:r w:rsidRPr="00110C24">
        <w:rPr>
          <w:rFonts w:cs="Arial"/>
        </w:rPr>
        <w:t>Office de la protection du consommateur</w:t>
      </w:r>
    </w:p>
    <w:p w:rsidR="002924B3" w:rsidRDefault="00A449CA" w:rsidP="00110C24">
      <w:pPr>
        <w:rPr>
          <w:rFonts w:cs="Arial"/>
        </w:rPr>
      </w:pPr>
      <w:r w:rsidRPr="00A449CA">
        <w:rPr>
          <w:rFonts w:cs="Arial"/>
        </w:rPr>
        <w:t>4 mars 2019</w:t>
      </w:r>
    </w:p>
    <w:p w:rsidR="00110C24" w:rsidRDefault="00110C24" w:rsidP="00110C24">
      <w:pPr>
        <w:tabs>
          <w:tab w:val="left" w:pos="17070"/>
        </w:tabs>
        <w:rPr>
          <w:rFonts w:cs="Arial"/>
        </w:rPr>
      </w:pPr>
      <w:r>
        <w:rPr>
          <w:rFonts w:cs="Arial"/>
        </w:rPr>
        <w:tab/>
      </w:r>
    </w:p>
    <w:p w:rsidR="00236A3B" w:rsidRPr="00110C24" w:rsidRDefault="00236A3B" w:rsidP="00110C24">
      <w:pPr>
        <w:tabs>
          <w:tab w:val="left" w:pos="17070"/>
        </w:tabs>
        <w:rPr>
          <w:rFonts w:cs="Arial"/>
        </w:rPr>
        <w:sectPr w:rsidR="00236A3B" w:rsidRPr="00110C24" w:rsidSect="00110C24">
          <w:headerReference w:type="default" r:id="rId9"/>
          <w:footerReference w:type="default" r:id="rId10"/>
          <w:headerReference w:type="first" r:id="rId11"/>
          <w:pgSz w:w="20160" w:h="12240" w:orient="landscape" w:code="5"/>
          <w:pgMar w:top="864" w:right="720" w:bottom="432" w:left="720" w:header="900" w:footer="1138" w:gutter="0"/>
          <w:paperSrc w:first="15" w:other="15"/>
          <w:cols w:space="720"/>
          <w:titlePg/>
          <w:docGrid w:linePitch="326"/>
        </w:sectPr>
      </w:pPr>
    </w:p>
    <w:p w:rsidR="002924B3" w:rsidRDefault="002924B3" w:rsidP="00142410">
      <w:pPr>
        <w:rPr>
          <w:rFonts w:cs="Arial"/>
        </w:rPr>
      </w:pPr>
    </w:p>
    <w:p w:rsidR="006020C8" w:rsidRPr="006020C8" w:rsidRDefault="004362C5" w:rsidP="00142410">
      <w:pPr>
        <w:rPr>
          <w:rFonts w:cs="Arial"/>
        </w:rPr>
      </w:pPr>
      <w:r w:rsidRPr="006020C8">
        <w:rPr>
          <w:rFonts w:cs="Arial"/>
        </w:rPr>
        <w:t>Le présent document de consultation présente des propositions de modifications relatives au crédit et à d’autres dispositions de la Loi sur la protection du consommateur</w:t>
      </w:r>
      <w:r w:rsidR="002E0C34" w:rsidRPr="006020C8">
        <w:rPr>
          <w:rFonts w:cs="Arial"/>
        </w:rPr>
        <w:t xml:space="preserve">. Cette consultation </w:t>
      </w:r>
      <w:r w:rsidR="00011BCD" w:rsidRPr="006020C8">
        <w:rPr>
          <w:rFonts w:cs="Arial"/>
        </w:rPr>
        <w:t>s’inscrit dans le cadre de</w:t>
      </w:r>
      <w:r w:rsidR="002E0C34" w:rsidRPr="006020C8">
        <w:rPr>
          <w:rFonts w:cs="Arial"/>
        </w:rPr>
        <w:t xml:space="preserve"> la deuxième étape du processus de modernisation des règles relatives au crédit à la consommation. La première étape de ce processus </w:t>
      </w:r>
      <w:r w:rsidR="00011BCD" w:rsidRPr="006020C8">
        <w:rPr>
          <w:rFonts w:cs="Arial"/>
        </w:rPr>
        <w:t xml:space="preserve">a </w:t>
      </w:r>
      <w:r w:rsidR="002E0C34" w:rsidRPr="006020C8">
        <w:rPr>
          <w:rFonts w:cs="Arial"/>
        </w:rPr>
        <w:t>mené à l’adoption, le 15 novemb</w:t>
      </w:r>
      <w:r w:rsidR="00A449CA">
        <w:rPr>
          <w:rFonts w:cs="Arial"/>
        </w:rPr>
        <w:t xml:space="preserve">re 2017, de </w:t>
      </w:r>
      <w:r w:rsidR="00A449CA" w:rsidRPr="00A449CA">
        <w:rPr>
          <w:rFonts w:cs="Arial"/>
        </w:rPr>
        <w:t xml:space="preserve">la </w:t>
      </w:r>
      <w:r w:rsidR="00A449CA" w:rsidRPr="00A449CA">
        <w:rPr>
          <w:rFonts w:cs="Arial"/>
          <w:i/>
        </w:rPr>
        <w:t>Loi visant principalement à moderniser des règles relatives au crédit à la consommation et à encadrer les contrats de service de règlement de dettes, les contrats de crédit à coût élevé et les programmes de fidélisation</w:t>
      </w:r>
      <w:r w:rsidR="00A449CA" w:rsidRPr="00A449CA">
        <w:rPr>
          <w:rFonts w:cs="Arial"/>
        </w:rPr>
        <w:t xml:space="preserve"> (2017, chapitre 24).  </w:t>
      </w:r>
    </w:p>
    <w:p w:rsidR="006020C8" w:rsidRPr="006020C8" w:rsidRDefault="006020C8" w:rsidP="00142410">
      <w:pPr>
        <w:rPr>
          <w:rFonts w:cs="Arial"/>
        </w:rPr>
      </w:pPr>
    </w:p>
    <w:p w:rsidR="006020C8" w:rsidRPr="006020C8" w:rsidRDefault="006020C8" w:rsidP="00142410">
      <w:pPr>
        <w:rPr>
          <w:rFonts w:cs="Arial"/>
        </w:rPr>
      </w:pPr>
      <w:r w:rsidRPr="006020C8">
        <w:rPr>
          <w:rFonts w:cs="Arial"/>
        </w:rPr>
        <w:t>Cette consultation vise à récolter le plus d’éléments possible afin que l’Office de la protection du consommateur puisse formuler des recommandations à la ministre de la Justice en vue de la rédaction d’un projet de loi.</w:t>
      </w:r>
    </w:p>
    <w:p w:rsidR="006020C8" w:rsidRPr="006020C8" w:rsidRDefault="006020C8" w:rsidP="00142410">
      <w:pPr>
        <w:rPr>
          <w:rFonts w:cs="Arial"/>
        </w:rPr>
      </w:pPr>
    </w:p>
    <w:p w:rsidR="00D37E62" w:rsidRDefault="006020C8" w:rsidP="00142410">
      <w:pPr>
        <w:rPr>
          <w:rFonts w:cs="Arial"/>
        </w:rPr>
      </w:pPr>
      <w:r w:rsidRPr="006020C8">
        <w:rPr>
          <w:rFonts w:cs="Arial"/>
        </w:rPr>
        <w:t>Les propositions ont été regroupées</w:t>
      </w:r>
      <w:r w:rsidR="00D37E62">
        <w:rPr>
          <w:rFonts w:cs="Arial"/>
        </w:rPr>
        <w:t xml:space="preserve"> en divers tableaux selon les thèmes suivants :</w:t>
      </w:r>
    </w:p>
    <w:p w:rsidR="00D37E62" w:rsidRDefault="00D37E62" w:rsidP="00142410">
      <w:pPr>
        <w:rPr>
          <w:rFonts w:cs="Arial"/>
        </w:rPr>
      </w:pPr>
    </w:p>
    <w:p w:rsidR="00D37E62" w:rsidRDefault="00D37E62" w:rsidP="00D37E62">
      <w:pPr>
        <w:pStyle w:val="Paragraphedeliste"/>
        <w:numPr>
          <w:ilvl w:val="0"/>
          <w:numId w:val="366"/>
        </w:numPr>
        <w:rPr>
          <w:rFonts w:cs="Arial"/>
        </w:rPr>
      </w:pPr>
      <w:r>
        <w:rPr>
          <w:rFonts w:cs="Arial"/>
        </w:rPr>
        <w:t>Pratiques affectant particulièrement dans le secteur de l’automobile</w:t>
      </w:r>
    </w:p>
    <w:p w:rsidR="00D37E62" w:rsidRDefault="00D37E62" w:rsidP="00D37E62">
      <w:pPr>
        <w:pStyle w:val="Paragraphedeliste"/>
        <w:numPr>
          <w:ilvl w:val="0"/>
          <w:numId w:val="366"/>
        </w:numPr>
        <w:rPr>
          <w:rFonts w:cs="Arial"/>
        </w:rPr>
      </w:pPr>
      <w:r>
        <w:rPr>
          <w:rFonts w:cs="Arial"/>
        </w:rPr>
        <w:t>Pratiques affectant plus particulièrement les consommateurs plus vulnérables</w:t>
      </w:r>
    </w:p>
    <w:p w:rsidR="00D37E62" w:rsidRDefault="00D37E62" w:rsidP="00D37E62">
      <w:pPr>
        <w:pStyle w:val="Paragraphedeliste"/>
        <w:numPr>
          <w:ilvl w:val="0"/>
          <w:numId w:val="366"/>
        </w:numPr>
        <w:rPr>
          <w:rFonts w:cs="Arial"/>
        </w:rPr>
      </w:pPr>
      <w:r>
        <w:rPr>
          <w:rFonts w:cs="Arial"/>
        </w:rPr>
        <w:t>Contrat de crédit – dispositions générales</w:t>
      </w:r>
    </w:p>
    <w:p w:rsidR="00D37E62" w:rsidRDefault="00D37E62" w:rsidP="00D37E62">
      <w:pPr>
        <w:pStyle w:val="Paragraphedeliste"/>
        <w:numPr>
          <w:ilvl w:val="0"/>
          <w:numId w:val="366"/>
        </w:numPr>
        <w:rPr>
          <w:rFonts w:cs="Arial"/>
        </w:rPr>
      </w:pPr>
      <w:r>
        <w:rPr>
          <w:rFonts w:cs="Arial"/>
        </w:rPr>
        <w:t>Carte de débit</w:t>
      </w:r>
    </w:p>
    <w:p w:rsidR="00D37E62" w:rsidRDefault="00D37E62" w:rsidP="00D37E62">
      <w:pPr>
        <w:pStyle w:val="Paragraphedeliste"/>
        <w:numPr>
          <w:ilvl w:val="0"/>
          <w:numId w:val="366"/>
        </w:numPr>
        <w:rPr>
          <w:rFonts w:cs="Arial"/>
        </w:rPr>
      </w:pPr>
      <w:r>
        <w:rPr>
          <w:rFonts w:cs="Arial"/>
        </w:rPr>
        <w:t>Publicité et pratiques de commerce</w:t>
      </w:r>
    </w:p>
    <w:p w:rsidR="00D37E62" w:rsidRDefault="00D37E62" w:rsidP="00D37E62">
      <w:pPr>
        <w:pStyle w:val="Paragraphedeliste"/>
        <w:numPr>
          <w:ilvl w:val="0"/>
          <w:numId w:val="366"/>
        </w:numPr>
        <w:rPr>
          <w:rFonts w:cs="Arial"/>
        </w:rPr>
      </w:pPr>
      <w:r>
        <w:rPr>
          <w:rFonts w:cs="Arial"/>
        </w:rPr>
        <w:t>Autres mesures</w:t>
      </w:r>
    </w:p>
    <w:p w:rsidR="00D37E62" w:rsidRPr="002924B3" w:rsidRDefault="00D37E62" w:rsidP="00D37E62">
      <w:pPr>
        <w:rPr>
          <w:rFonts w:cs="Arial"/>
        </w:rPr>
      </w:pPr>
    </w:p>
    <w:p w:rsidR="002924B3" w:rsidRPr="002924B3" w:rsidRDefault="00D37E62" w:rsidP="00D37E62">
      <w:pPr>
        <w:rPr>
          <w:rFonts w:cs="Arial"/>
        </w:rPr>
      </w:pPr>
      <w:r w:rsidRPr="002924B3">
        <w:rPr>
          <w:rFonts w:cs="Arial"/>
        </w:rPr>
        <w:t>Pour chaque proposition, vous êtes invités à y inscrire vos commentaires</w:t>
      </w:r>
      <w:r w:rsidR="002924B3" w:rsidRPr="002924B3">
        <w:rPr>
          <w:rFonts w:cs="Arial"/>
        </w:rPr>
        <w:t>. À la fin de chaque tableau, vous pouvez insérer des lignes supplémentaires afin d’y ajouter des commentaires supplémentaires ou de nouvelles propositions</w:t>
      </w:r>
      <w:r w:rsidR="002924B3">
        <w:rPr>
          <w:rFonts w:cs="Arial"/>
        </w:rPr>
        <w:t>.</w:t>
      </w:r>
    </w:p>
    <w:p w:rsidR="002924B3" w:rsidRPr="002924B3" w:rsidRDefault="002924B3" w:rsidP="00D37E62">
      <w:pPr>
        <w:rPr>
          <w:rFonts w:cs="Arial"/>
        </w:rPr>
      </w:pPr>
    </w:p>
    <w:p w:rsidR="00142410" w:rsidRPr="00D37E62" w:rsidRDefault="002924B3" w:rsidP="00D37E62">
      <w:pPr>
        <w:rPr>
          <w:rFonts w:cs="Arial"/>
        </w:rPr>
      </w:pPr>
      <w:r w:rsidRPr="002924B3">
        <w:rPr>
          <w:rFonts w:cs="Arial"/>
        </w:rPr>
        <w:t>Nous apprécierions, pour faciliter le travail de compilation des commentaires, que vous nous retourniez vos commentaires dans le présent document en format Word plutôt qu’en format PDF.</w:t>
      </w:r>
      <w:r w:rsidR="00142410" w:rsidRPr="00D37E62">
        <w:rPr>
          <w:rFonts w:cs="Arial"/>
          <w:highlight w:val="yellow"/>
        </w:rPr>
        <w:br w:type="page"/>
      </w:r>
    </w:p>
    <w:p w:rsidR="00014F14" w:rsidRPr="006819C9" w:rsidRDefault="006819C9" w:rsidP="006819C9">
      <w:pPr>
        <w:pStyle w:val="Titre2"/>
      </w:pPr>
      <w:bookmarkStart w:id="1" w:name="_Toc536006783"/>
      <w:r w:rsidRPr="006819C9">
        <w:lastRenderedPageBreak/>
        <w:t xml:space="preserve">Pratiques affectant particulièrement les consommateurs </w:t>
      </w:r>
      <w:r w:rsidR="00307E6E">
        <w:t>dans le secteur automobile</w:t>
      </w:r>
      <w:bookmarkEnd w:id="1"/>
    </w:p>
    <w:tbl>
      <w:tblPr>
        <w:tblW w:w="1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1260"/>
        <w:gridCol w:w="6300"/>
        <w:gridCol w:w="6030"/>
        <w:gridCol w:w="5130"/>
        <w:gridCol w:w="10"/>
      </w:tblGrid>
      <w:tr w:rsidR="00945E4D" w:rsidRPr="00434009" w:rsidTr="001E5930">
        <w:trPr>
          <w:trHeight w:val="978"/>
          <w:tblHeader/>
          <w:jc w:val="center"/>
        </w:trPr>
        <w:tc>
          <w:tcPr>
            <w:tcW w:w="715" w:type="dxa"/>
            <w:shd w:val="clear" w:color="auto" w:fill="EEECE1" w:themeFill="background2"/>
            <w:vAlign w:val="center"/>
          </w:tcPr>
          <w:p w:rsidR="00945E4D" w:rsidRPr="007571C8" w:rsidRDefault="00945E4D" w:rsidP="00FC1016">
            <w:pPr>
              <w:spacing w:before="120" w:after="120"/>
              <w:jc w:val="center"/>
              <w:rPr>
                <w:rFonts w:cs="Arial"/>
                <w:b/>
                <w:bCs/>
                <w:sz w:val="20"/>
                <w:szCs w:val="22"/>
              </w:rPr>
            </w:pPr>
            <w:r>
              <w:rPr>
                <w:rFonts w:cs="Arial"/>
                <w:b/>
                <w:bCs/>
                <w:sz w:val="20"/>
                <w:szCs w:val="22"/>
              </w:rPr>
              <w:t>NO</w:t>
            </w:r>
          </w:p>
        </w:tc>
        <w:tc>
          <w:tcPr>
            <w:tcW w:w="1260" w:type="dxa"/>
            <w:shd w:val="clear" w:color="auto" w:fill="EEECE1" w:themeFill="background2"/>
            <w:vAlign w:val="center"/>
          </w:tcPr>
          <w:p w:rsidR="00945E4D" w:rsidRPr="007571C8" w:rsidRDefault="00945E4D" w:rsidP="00FC1016">
            <w:pPr>
              <w:spacing w:before="120" w:after="120"/>
              <w:jc w:val="center"/>
              <w:rPr>
                <w:rFonts w:cs="Arial"/>
                <w:b/>
                <w:bCs/>
                <w:sz w:val="20"/>
                <w:szCs w:val="22"/>
              </w:rPr>
            </w:pPr>
            <w:r w:rsidRPr="007571C8">
              <w:rPr>
                <w:rFonts w:cs="Arial"/>
                <w:b/>
                <w:bCs/>
                <w:sz w:val="20"/>
                <w:szCs w:val="22"/>
              </w:rPr>
              <w:t>ARTICLES</w:t>
            </w:r>
          </w:p>
        </w:tc>
        <w:tc>
          <w:tcPr>
            <w:tcW w:w="6300" w:type="dxa"/>
            <w:shd w:val="clear" w:color="auto" w:fill="EEECE1" w:themeFill="background2"/>
            <w:vAlign w:val="center"/>
          </w:tcPr>
          <w:p w:rsidR="00945E4D" w:rsidRPr="00434009" w:rsidRDefault="00945E4D" w:rsidP="00FC1016">
            <w:pPr>
              <w:spacing w:before="120" w:after="120"/>
              <w:jc w:val="center"/>
              <w:rPr>
                <w:rFonts w:cs="Arial"/>
                <w:b/>
                <w:bCs/>
                <w:sz w:val="20"/>
                <w:szCs w:val="22"/>
              </w:rPr>
            </w:pPr>
            <w:r>
              <w:rPr>
                <w:rFonts w:cs="Arial"/>
                <w:b/>
                <w:bCs/>
                <w:sz w:val="20"/>
                <w:szCs w:val="22"/>
              </w:rPr>
              <w:t>PROBLÉMATIQUE</w:t>
            </w:r>
          </w:p>
        </w:tc>
        <w:tc>
          <w:tcPr>
            <w:tcW w:w="6030" w:type="dxa"/>
            <w:shd w:val="clear" w:color="auto" w:fill="EEECE1" w:themeFill="background2"/>
            <w:vAlign w:val="center"/>
          </w:tcPr>
          <w:p w:rsidR="00945E4D" w:rsidRPr="00434009" w:rsidRDefault="00945E4D" w:rsidP="00140FEA">
            <w:pPr>
              <w:spacing w:before="120" w:after="120"/>
              <w:jc w:val="center"/>
              <w:rPr>
                <w:rFonts w:cs="Arial"/>
                <w:b/>
                <w:bCs/>
                <w:sz w:val="20"/>
                <w:szCs w:val="22"/>
              </w:rPr>
            </w:pPr>
            <w:r>
              <w:rPr>
                <w:rFonts w:cs="Arial"/>
                <w:b/>
                <w:bCs/>
                <w:sz w:val="20"/>
                <w:szCs w:val="22"/>
              </w:rPr>
              <w:t>MESURE</w:t>
            </w:r>
          </w:p>
        </w:tc>
        <w:tc>
          <w:tcPr>
            <w:tcW w:w="5140" w:type="dxa"/>
            <w:gridSpan w:val="2"/>
            <w:shd w:val="clear" w:color="auto" w:fill="EEECE1" w:themeFill="background2"/>
            <w:vAlign w:val="center"/>
          </w:tcPr>
          <w:p w:rsidR="00945E4D" w:rsidRDefault="00663A4D" w:rsidP="00140FEA">
            <w:pPr>
              <w:spacing w:before="120" w:after="120"/>
              <w:jc w:val="center"/>
              <w:rPr>
                <w:rFonts w:cs="Arial"/>
                <w:b/>
                <w:bCs/>
                <w:sz w:val="20"/>
                <w:szCs w:val="22"/>
              </w:rPr>
            </w:pPr>
            <w:r>
              <w:rPr>
                <w:rFonts w:cs="Arial"/>
                <w:b/>
                <w:bCs/>
                <w:sz w:val="20"/>
                <w:szCs w:val="22"/>
              </w:rPr>
              <w:t>COMMENTAIRE</w:t>
            </w:r>
            <w:r w:rsidR="00992BE8">
              <w:rPr>
                <w:rFonts w:cs="Arial"/>
                <w:b/>
                <w:bCs/>
                <w:sz w:val="20"/>
                <w:szCs w:val="22"/>
              </w:rPr>
              <w:t>S</w:t>
            </w:r>
          </w:p>
        </w:tc>
      </w:tr>
      <w:tr w:rsidR="00513959" w:rsidRPr="00434009" w:rsidTr="001E5930">
        <w:trPr>
          <w:jc w:val="center"/>
        </w:trPr>
        <w:tc>
          <w:tcPr>
            <w:tcW w:w="715" w:type="dxa"/>
            <w:vAlign w:val="center"/>
          </w:tcPr>
          <w:p w:rsidR="00513959" w:rsidRPr="006819C9" w:rsidRDefault="00362E90" w:rsidP="00513959">
            <w:pPr>
              <w:jc w:val="center"/>
              <w:rPr>
                <w:rFonts w:cs="Arial"/>
                <w:sz w:val="20"/>
                <w:szCs w:val="22"/>
              </w:rPr>
            </w:pPr>
            <w:r>
              <w:rPr>
                <w:rFonts w:cs="Arial"/>
                <w:sz w:val="20"/>
                <w:szCs w:val="22"/>
              </w:rPr>
              <w:t>1</w:t>
            </w:r>
          </w:p>
        </w:tc>
        <w:tc>
          <w:tcPr>
            <w:tcW w:w="1260" w:type="dxa"/>
            <w:vAlign w:val="center"/>
          </w:tcPr>
          <w:p w:rsidR="00513959" w:rsidRPr="001E5930" w:rsidRDefault="00513959" w:rsidP="00513959">
            <w:pPr>
              <w:jc w:val="center"/>
              <w:rPr>
                <w:rFonts w:cs="Arial"/>
                <w:sz w:val="20"/>
                <w:szCs w:val="22"/>
              </w:rPr>
            </w:pPr>
            <w:r w:rsidRPr="001E5930">
              <w:rPr>
                <w:rFonts w:cs="Arial"/>
                <w:sz w:val="20"/>
                <w:szCs w:val="22"/>
              </w:rPr>
              <w:t>148 LPC</w:t>
            </w:r>
          </w:p>
        </w:tc>
        <w:tc>
          <w:tcPr>
            <w:tcW w:w="6300" w:type="dxa"/>
          </w:tcPr>
          <w:p w:rsidR="00513959" w:rsidRPr="00CA2A92" w:rsidRDefault="00513959" w:rsidP="00513959">
            <w:pPr>
              <w:spacing w:before="120" w:after="120"/>
              <w:jc w:val="both"/>
              <w:rPr>
                <w:rFonts w:cs="Arial"/>
                <w:sz w:val="20"/>
                <w:szCs w:val="22"/>
              </w:rPr>
            </w:pPr>
            <w:r w:rsidRPr="00CA2A92">
              <w:rPr>
                <w:rFonts w:cs="Arial"/>
                <w:sz w:val="20"/>
                <w:szCs w:val="22"/>
              </w:rPr>
              <w:t>Actuellement, lors de la conclusion d’un nouveau contrat de vente à tempérament, des commerçants portent à ce contrat, l’intégralité de la dette due en vertu d’un autre contrat de vente à tempérament portant sur un bien donné en échange.</w:t>
            </w:r>
          </w:p>
          <w:p w:rsidR="00513959" w:rsidRPr="006819C9" w:rsidRDefault="00513959" w:rsidP="00513959">
            <w:pPr>
              <w:spacing w:before="120" w:after="120"/>
              <w:jc w:val="both"/>
              <w:rPr>
                <w:rFonts w:cs="Arial"/>
                <w:sz w:val="20"/>
                <w:szCs w:val="22"/>
              </w:rPr>
            </w:pPr>
            <w:r w:rsidRPr="00CA2A92">
              <w:rPr>
                <w:rFonts w:cs="Arial"/>
                <w:sz w:val="20"/>
                <w:szCs w:val="22"/>
              </w:rPr>
              <w:t>I</w:t>
            </w:r>
            <w:r>
              <w:rPr>
                <w:rFonts w:cs="Arial"/>
                <w:sz w:val="20"/>
                <w:szCs w:val="22"/>
              </w:rPr>
              <w:t>l convient de limiter la dette </w:t>
            </w:r>
            <w:r w:rsidRPr="00CA2A92">
              <w:rPr>
                <w:rFonts w:cs="Arial"/>
                <w:sz w:val="20"/>
                <w:szCs w:val="22"/>
              </w:rPr>
              <w:t>qui pourra ainsi être imputée au nouveau contrat de vente à tempérament et de reformuler la mesure existante à la LPC de façon à ce que le commerçant qui y contrevient soit passible de sanction pénale.</w:t>
            </w:r>
          </w:p>
        </w:tc>
        <w:tc>
          <w:tcPr>
            <w:tcW w:w="6030" w:type="dxa"/>
          </w:tcPr>
          <w:p w:rsidR="00513959" w:rsidRPr="006819C9" w:rsidRDefault="00513959" w:rsidP="00513959">
            <w:pPr>
              <w:spacing w:before="120" w:after="120"/>
              <w:jc w:val="both"/>
              <w:rPr>
                <w:rFonts w:cs="Arial"/>
                <w:sz w:val="20"/>
                <w:szCs w:val="22"/>
              </w:rPr>
            </w:pPr>
            <w:r w:rsidRPr="006819C9">
              <w:rPr>
                <w:rFonts w:cs="Arial"/>
                <w:sz w:val="20"/>
                <w:szCs w:val="22"/>
                <w:u w:val="single"/>
              </w:rPr>
              <w:t xml:space="preserve">Biens </w:t>
            </w:r>
            <w:r>
              <w:rPr>
                <w:rFonts w:cs="Arial"/>
                <w:sz w:val="20"/>
                <w:szCs w:val="22"/>
                <w:u w:val="single"/>
              </w:rPr>
              <w:t xml:space="preserve">non </w:t>
            </w:r>
            <w:r w:rsidRPr="006819C9">
              <w:rPr>
                <w:rFonts w:cs="Arial"/>
                <w:sz w:val="20"/>
                <w:szCs w:val="22"/>
                <w:u w:val="single"/>
              </w:rPr>
              <w:t>vendus le même jour</w:t>
            </w:r>
            <w:r w:rsidRPr="006819C9">
              <w:rPr>
                <w:rFonts w:cs="Arial"/>
                <w:sz w:val="20"/>
                <w:szCs w:val="22"/>
              </w:rPr>
              <w:t xml:space="preserve"> : modification du libellé de l’interdiction de conclure un contrat de vente à tempérament se rapportant à des biens non vendus le même jour, afin que l’infraction soit passible de sanction pénale. </w:t>
            </w:r>
          </w:p>
          <w:p w:rsidR="00513959" w:rsidRPr="006819C9" w:rsidRDefault="00513959" w:rsidP="00513959">
            <w:pPr>
              <w:spacing w:before="120" w:after="120"/>
              <w:jc w:val="both"/>
              <w:rPr>
                <w:rFonts w:cs="Arial"/>
                <w:sz w:val="20"/>
                <w:szCs w:val="22"/>
              </w:rPr>
            </w:pPr>
            <w:r w:rsidRPr="006819C9">
              <w:rPr>
                <w:rFonts w:cs="Arial"/>
                <w:sz w:val="20"/>
                <w:szCs w:val="22"/>
              </w:rPr>
              <w:t>Toutefois, le commerçant peut porter au contrat le solde d’une dette découlant d’un contrat relatif à un bien donné en échange; ce solde ne peut être supérieur à 20 % du prix de vente du nouveau bien.</w:t>
            </w:r>
          </w:p>
        </w:tc>
        <w:tc>
          <w:tcPr>
            <w:tcW w:w="5140" w:type="dxa"/>
            <w:gridSpan w:val="2"/>
          </w:tcPr>
          <w:p w:rsidR="00513959" w:rsidRPr="0083353A" w:rsidRDefault="00513959" w:rsidP="00513959">
            <w:pPr>
              <w:jc w:val="both"/>
              <w:rPr>
                <w:rFonts w:cs="Arial"/>
                <w:sz w:val="20"/>
                <w:szCs w:val="20"/>
                <w:highlight w:val="yellow"/>
              </w:rPr>
            </w:pPr>
          </w:p>
        </w:tc>
      </w:tr>
      <w:tr w:rsidR="009C5BCD" w:rsidRPr="000C4EB8" w:rsidTr="001E5930">
        <w:trPr>
          <w:trHeight w:val="1771"/>
          <w:jc w:val="center"/>
        </w:trPr>
        <w:tc>
          <w:tcPr>
            <w:tcW w:w="715" w:type="dxa"/>
            <w:vAlign w:val="center"/>
          </w:tcPr>
          <w:p w:rsidR="009C5BCD" w:rsidRPr="006819C9" w:rsidRDefault="00362E90" w:rsidP="00BA0496">
            <w:pPr>
              <w:jc w:val="center"/>
              <w:rPr>
                <w:rFonts w:cs="Arial"/>
                <w:sz w:val="20"/>
                <w:szCs w:val="22"/>
              </w:rPr>
            </w:pPr>
            <w:r>
              <w:rPr>
                <w:rFonts w:cs="Arial"/>
                <w:sz w:val="20"/>
                <w:szCs w:val="22"/>
              </w:rPr>
              <w:t>2</w:t>
            </w:r>
          </w:p>
        </w:tc>
        <w:tc>
          <w:tcPr>
            <w:tcW w:w="1260" w:type="dxa"/>
            <w:vAlign w:val="center"/>
          </w:tcPr>
          <w:p w:rsidR="009C5BCD" w:rsidRPr="001E5930" w:rsidRDefault="009C5BCD" w:rsidP="00BA0496">
            <w:pPr>
              <w:jc w:val="center"/>
              <w:rPr>
                <w:rFonts w:cs="Arial"/>
                <w:sz w:val="20"/>
                <w:szCs w:val="22"/>
              </w:rPr>
            </w:pPr>
            <w:r w:rsidRPr="001E5930">
              <w:rPr>
                <w:rFonts w:cs="Arial"/>
                <w:sz w:val="20"/>
                <w:szCs w:val="22"/>
              </w:rPr>
              <w:t>141.1 LPC</w:t>
            </w:r>
          </w:p>
        </w:tc>
        <w:tc>
          <w:tcPr>
            <w:tcW w:w="6300" w:type="dxa"/>
          </w:tcPr>
          <w:p w:rsidR="009C5BCD" w:rsidRPr="006819C9" w:rsidRDefault="009C5BCD" w:rsidP="00BA0496">
            <w:pPr>
              <w:spacing w:before="120" w:after="120"/>
              <w:jc w:val="both"/>
              <w:rPr>
                <w:rFonts w:cs="Arial"/>
                <w:sz w:val="20"/>
                <w:szCs w:val="22"/>
              </w:rPr>
            </w:pPr>
            <w:r w:rsidRPr="006819C9">
              <w:rPr>
                <w:rFonts w:cs="Arial"/>
                <w:sz w:val="20"/>
                <w:szCs w:val="22"/>
              </w:rPr>
              <w:t>À la suite d’une série de défauts du consommateur qui a conclu un contrat assorti d’un crédit, ce dernier se fait proposer la remise volontaire pr</w:t>
            </w:r>
            <w:r>
              <w:rPr>
                <w:rFonts w:cs="Arial"/>
                <w:sz w:val="20"/>
                <w:szCs w:val="22"/>
              </w:rPr>
              <w:t>éalablement à l’envoi de l’avis de déchéance de bénéfice du terme.</w:t>
            </w:r>
            <w:r w:rsidRPr="006819C9">
              <w:rPr>
                <w:rFonts w:cs="Arial"/>
                <w:sz w:val="20"/>
                <w:szCs w:val="22"/>
              </w:rPr>
              <w:t xml:space="preserve"> Le consommateur pense souvent, à tort, qu’en remettant le véhicule sa dette sera éteinte. Parfois, même le commerçant le croit, mais se ravise après avoir consulté ses conseillers.</w:t>
            </w:r>
          </w:p>
        </w:tc>
        <w:tc>
          <w:tcPr>
            <w:tcW w:w="6030" w:type="dxa"/>
          </w:tcPr>
          <w:p w:rsidR="009C5BCD" w:rsidRPr="00F520B7" w:rsidRDefault="009C5BCD" w:rsidP="00BA0496">
            <w:pPr>
              <w:spacing w:before="120" w:after="120"/>
              <w:jc w:val="both"/>
              <w:rPr>
                <w:rFonts w:cs="Arial"/>
                <w:sz w:val="20"/>
                <w:szCs w:val="22"/>
              </w:rPr>
            </w:pPr>
            <w:r w:rsidRPr="00F520B7">
              <w:rPr>
                <w:rFonts w:cs="Arial"/>
                <w:sz w:val="20"/>
                <w:szCs w:val="22"/>
                <w:u w:val="single"/>
              </w:rPr>
              <w:t>Contrat assorti d’un crédit : remise volontaire en cas de défaut</w:t>
            </w:r>
            <w:r w:rsidRPr="00F520B7">
              <w:rPr>
                <w:rFonts w:cs="Arial"/>
                <w:sz w:val="20"/>
                <w:szCs w:val="22"/>
              </w:rPr>
              <w:t xml:space="preserve"> : </w:t>
            </w:r>
          </w:p>
          <w:p w:rsidR="009C5BCD" w:rsidRPr="00F520B7" w:rsidRDefault="009C5BCD" w:rsidP="00BA0496">
            <w:pPr>
              <w:numPr>
                <w:ilvl w:val="0"/>
                <w:numId w:val="7"/>
              </w:numPr>
              <w:spacing w:before="120" w:after="120"/>
              <w:contextualSpacing/>
              <w:jc w:val="both"/>
              <w:rPr>
                <w:rFonts w:cs="Arial"/>
                <w:bCs/>
                <w:sz w:val="20"/>
                <w:szCs w:val="22"/>
                <w:lang w:eastAsia="fr-FR"/>
              </w:rPr>
            </w:pPr>
            <w:r w:rsidRPr="00F520B7">
              <w:rPr>
                <w:rFonts w:cs="Arial"/>
                <w:sz w:val="20"/>
                <w:szCs w:val="22"/>
                <w:lang w:eastAsia="fr-FR"/>
              </w:rPr>
              <w:t xml:space="preserve">Obligation du consommateur éteinte et non-obligation de payer plus de trois versements échus si le commerçant accepte que le consommateur, en défaut de respecter ses obligations, lui remette volontairement le bien alors </w:t>
            </w:r>
            <w:r>
              <w:rPr>
                <w:rFonts w:cs="Arial"/>
                <w:sz w:val="20"/>
                <w:szCs w:val="22"/>
                <w:lang w:eastAsia="fr-FR"/>
              </w:rPr>
              <w:t>que le commerçant</w:t>
            </w:r>
            <w:r w:rsidRPr="00F520B7">
              <w:rPr>
                <w:rFonts w:cs="Arial"/>
                <w:sz w:val="20"/>
                <w:szCs w:val="22"/>
                <w:lang w:eastAsia="fr-FR"/>
              </w:rPr>
              <w:t xml:space="preserve"> ne lui a pas transmis l’avis prévu par la loi.</w:t>
            </w:r>
          </w:p>
        </w:tc>
        <w:tc>
          <w:tcPr>
            <w:tcW w:w="5140" w:type="dxa"/>
            <w:gridSpan w:val="2"/>
          </w:tcPr>
          <w:p w:rsidR="009C5BCD" w:rsidRPr="000C4EB8" w:rsidRDefault="009C5BCD" w:rsidP="00BA0496">
            <w:pPr>
              <w:spacing w:before="120" w:after="120"/>
              <w:jc w:val="both"/>
              <w:rPr>
                <w:rFonts w:cs="Arial"/>
                <w:sz w:val="20"/>
                <w:szCs w:val="22"/>
              </w:rPr>
            </w:pPr>
          </w:p>
        </w:tc>
      </w:tr>
      <w:tr w:rsidR="009C5BCD" w:rsidRPr="000C4EB8" w:rsidTr="001E5930">
        <w:trPr>
          <w:trHeight w:val="1069"/>
          <w:jc w:val="center"/>
        </w:trPr>
        <w:tc>
          <w:tcPr>
            <w:tcW w:w="715" w:type="dxa"/>
            <w:vAlign w:val="center"/>
          </w:tcPr>
          <w:p w:rsidR="009C5BCD" w:rsidRPr="006819C9" w:rsidRDefault="00362E90" w:rsidP="00BA0496">
            <w:pPr>
              <w:jc w:val="center"/>
              <w:rPr>
                <w:rFonts w:cs="Arial"/>
                <w:sz w:val="20"/>
                <w:szCs w:val="22"/>
              </w:rPr>
            </w:pPr>
            <w:r>
              <w:rPr>
                <w:rFonts w:cs="Arial"/>
                <w:sz w:val="20"/>
                <w:szCs w:val="22"/>
              </w:rPr>
              <w:t>3</w:t>
            </w:r>
          </w:p>
        </w:tc>
        <w:tc>
          <w:tcPr>
            <w:tcW w:w="1260" w:type="dxa"/>
            <w:vAlign w:val="center"/>
          </w:tcPr>
          <w:p w:rsidR="009C5BCD" w:rsidRPr="001E5930" w:rsidRDefault="009C5BCD" w:rsidP="00BA0496">
            <w:pPr>
              <w:jc w:val="center"/>
              <w:rPr>
                <w:rFonts w:cs="Arial"/>
                <w:sz w:val="20"/>
                <w:szCs w:val="22"/>
              </w:rPr>
            </w:pPr>
            <w:r w:rsidRPr="001E5930">
              <w:rPr>
                <w:rFonts w:cs="Arial"/>
                <w:sz w:val="20"/>
                <w:szCs w:val="22"/>
              </w:rPr>
              <w:t>141 LPC</w:t>
            </w:r>
          </w:p>
        </w:tc>
        <w:tc>
          <w:tcPr>
            <w:tcW w:w="6300" w:type="dxa"/>
          </w:tcPr>
          <w:p w:rsidR="009C5BCD" w:rsidRPr="00890595" w:rsidRDefault="009C5BCD" w:rsidP="00BA0496">
            <w:pPr>
              <w:spacing w:before="120" w:after="120"/>
              <w:jc w:val="both"/>
              <w:rPr>
                <w:rFonts w:cs="Arial"/>
                <w:sz w:val="20"/>
                <w:szCs w:val="22"/>
              </w:rPr>
            </w:pPr>
            <w:r w:rsidRPr="006819C9">
              <w:rPr>
                <w:rFonts w:cs="Arial"/>
                <w:sz w:val="20"/>
                <w:szCs w:val="22"/>
              </w:rPr>
              <w:t>Certains commerçants tardent à expédier un avis de défaut aux consommateurs, avec qui ils ont conclus un contrat assorti d’un crédit, pour ensuite reprendre possession du bien et réclamer les versements échus. Cette reprise de possession tardive permet de contour</w:t>
            </w:r>
            <w:r w:rsidR="00E140DD">
              <w:rPr>
                <w:rFonts w:cs="Arial"/>
                <w:sz w:val="20"/>
                <w:szCs w:val="22"/>
              </w:rPr>
              <w:t xml:space="preserve">ner les objectifs de la loi </w:t>
            </w:r>
            <w:r w:rsidRPr="006819C9">
              <w:rPr>
                <w:rFonts w:cs="Arial"/>
                <w:sz w:val="20"/>
                <w:szCs w:val="22"/>
              </w:rPr>
              <w:t>actuelle et de créer, pour le commerçant, une équité positive artificielle dans le bien repris.</w:t>
            </w:r>
          </w:p>
        </w:tc>
        <w:tc>
          <w:tcPr>
            <w:tcW w:w="6030" w:type="dxa"/>
          </w:tcPr>
          <w:p w:rsidR="009C5BCD" w:rsidRDefault="009C5BCD" w:rsidP="00BA0496">
            <w:pPr>
              <w:spacing w:before="120" w:after="120"/>
              <w:ind w:left="360"/>
              <w:contextualSpacing/>
              <w:jc w:val="both"/>
              <w:rPr>
                <w:rFonts w:cs="Arial"/>
                <w:sz w:val="20"/>
                <w:szCs w:val="22"/>
                <w:lang w:eastAsia="fr-FR"/>
              </w:rPr>
            </w:pPr>
          </w:p>
          <w:p w:rsidR="009C5BCD" w:rsidRPr="00F520B7" w:rsidRDefault="009C5BCD" w:rsidP="00BA0496">
            <w:pPr>
              <w:numPr>
                <w:ilvl w:val="0"/>
                <w:numId w:val="7"/>
              </w:numPr>
              <w:spacing w:before="120" w:after="120"/>
              <w:contextualSpacing/>
              <w:jc w:val="both"/>
              <w:rPr>
                <w:rFonts w:cs="Arial"/>
                <w:sz w:val="20"/>
                <w:szCs w:val="22"/>
                <w:lang w:eastAsia="fr-FR"/>
              </w:rPr>
            </w:pPr>
            <w:r w:rsidRPr="00F520B7">
              <w:rPr>
                <w:rFonts w:cs="Arial"/>
                <w:sz w:val="20"/>
                <w:szCs w:val="22"/>
                <w:lang w:eastAsia="fr-FR"/>
              </w:rPr>
              <w:t>Non obligation de payer plus de trois versements échus si remise volontaire ou reprise forcée du bien à la suite de l’avis prévu par la loi en cas de défaut du consommateur.</w:t>
            </w:r>
          </w:p>
        </w:tc>
        <w:tc>
          <w:tcPr>
            <w:tcW w:w="5140" w:type="dxa"/>
            <w:gridSpan w:val="2"/>
          </w:tcPr>
          <w:p w:rsidR="009C5BCD" w:rsidRPr="000C4EB8" w:rsidRDefault="009C5BCD" w:rsidP="00BA0496">
            <w:pPr>
              <w:spacing w:before="120" w:after="120"/>
              <w:jc w:val="both"/>
              <w:rPr>
                <w:rFonts w:cs="Arial"/>
                <w:sz w:val="20"/>
                <w:szCs w:val="22"/>
              </w:rPr>
            </w:pPr>
          </w:p>
        </w:tc>
      </w:tr>
      <w:tr w:rsidR="009C5BCD" w:rsidRPr="00990916" w:rsidTr="003874AD">
        <w:tblPrEx>
          <w:jc w:val="left"/>
        </w:tblPrEx>
        <w:trPr>
          <w:gridAfter w:val="1"/>
          <w:wAfter w:w="10" w:type="dxa"/>
        </w:trPr>
        <w:tc>
          <w:tcPr>
            <w:tcW w:w="715" w:type="dxa"/>
            <w:vAlign w:val="center"/>
          </w:tcPr>
          <w:p w:rsidR="009C5BCD" w:rsidRPr="00E54326" w:rsidRDefault="006A07FB" w:rsidP="00BA0496">
            <w:pPr>
              <w:spacing w:before="120"/>
              <w:jc w:val="center"/>
              <w:rPr>
                <w:rFonts w:cs="Arial"/>
                <w:sz w:val="20"/>
                <w:szCs w:val="22"/>
              </w:rPr>
            </w:pPr>
            <w:r>
              <w:rPr>
                <w:rFonts w:cs="Arial"/>
                <w:sz w:val="20"/>
                <w:szCs w:val="22"/>
              </w:rPr>
              <w:t>4</w:t>
            </w:r>
          </w:p>
        </w:tc>
        <w:tc>
          <w:tcPr>
            <w:tcW w:w="1260" w:type="dxa"/>
            <w:vAlign w:val="center"/>
          </w:tcPr>
          <w:p w:rsidR="009C5BCD" w:rsidRPr="00E54326" w:rsidRDefault="009C5BCD" w:rsidP="00BA0496">
            <w:pPr>
              <w:spacing w:before="120"/>
              <w:jc w:val="center"/>
              <w:rPr>
                <w:rFonts w:cs="Arial"/>
                <w:sz w:val="20"/>
                <w:szCs w:val="22"/>
              </w:rPr>
            </w:pPr>
            <w:r w:rsidRPr="00E54326">
              <w:rPr>
                <w:rFonts w:cs="Arial"/>
                <w:sz w:val="20"/>
                <w:szCs w:val="22"/>
              </w:rPr>
              <w:t>Détails ci-dessous</w:t>
            </w:r>
          </w:p>
        </w:tc>
        <w:tc>
          <w:tcPr>
            <w:tcW w:w="6300" w:type="dxa"/>
          </w:tcPr>
          <w:p w:rsidR="009C5BCD" w:rsidRPr="00434009" w:rsidRDefault="009C5BCD" w:rsidP="00BA0496">
            <w:pPr>
              <w:spacing w:before="120" w:after="120"/>
              <w:jc w:val="both"/>
              <w:rPr>
                <w:rFonts w:cs="Arial"/>
                <w:sz w:val="20"/>
                <w:szCs w:val="22"/>
              </w:rPr>
            </w:pPr>
            <w:r w:rsidRPr="00434009">
              <w:rPr>
                <w:rFonts w:cs="Arial"/>
                <w:sz w:val="20"/>
                <w:szCs w:val="22"/>
              </w:rPr>
              <w:t>La location à long terme de biens, généralement offerte avec une option d’achat, est devenue un véritable mode de financement des biens au même titre que la vente à tempérament, particulièrement dans le secteur de l’automobile. Compte tenu de cette nouvelle réalité, les mesures de protection n’apparaissent plus suffisantes.</w:t>
            </w:r>
          </w:p>
        </w:tc>
        <w:tc>
          <w:tcPr>
            <w:tcW w:w="6030" w:type="dxa"/>
          </w:tcPr>
          <w:p w:rsidR="009C5BCD" w:rsidRPr="00434009" w:rsidRDefault="009C5BCD" w:rsidP="00BA0496">
            <w:pPr>
              <w:spacing w:before="120" w:after="120"/>
              <w:jc w:val="both"/>
              <w:rPr>
                <w:rFonts w:cs="Arial"/>
                <w:sz w:val="20"/>
                <w:szCs w:val="22"/>
              </w:rPr>
            </w:pPr>
            <w:r w:rsidRPr="00434009">
              <w:rPr>
                <w:rFonts w:cs="Arial"/>
                <w:sz w:val="20"/>
                <w:szCs w:val="22"/>
              </w:rPr>
              <w:t>Intégration à plusieurs égards</w:t>
            </w:r>
            <w:r w:rsidR="00E140DD">
              <w:rPr>
                <w:rFonts w:cs="Arial"/>
                <w:sz w:val="20"/>
                <w:szCs w:val="22"/>
              </w:rPr>
              <w:t>,</w:t>
            </w:r>
            <w:r w:rsidRPr="00434009">
              <w:rPr>
                <w:rFonts w:cs="Arial"/>
                <w:sz w:val="20"/>
                <w:szCs w:val="22"/>
              </w:rPr>
              <w:t xml:space="preserve"> dans un seul régime</w:t>
            </w:r>
            <w:r w:rsidR="00E140DD">
              <w:rPr>
                <w:rFonts w:cs="Arial"/>
                <w:sz w:val="20"/>
                <w:szCs w:val="22"/>
              </w:rPr>
              <w:t>,</w:t>
            </w:r>
            <w:r w:rsidRPr="00434009">
              <w:rPr>
                <w:rFonts w:cs="Arial"/>
                <w:sz w:val="20"/>
                <w:szCs w:val="22"/>
              </w:rPr>
              <w:t xml:space="preserve"> de tous les types de contrat de louage à long terme de biens.</w:t>
            </w:r>
          </w:p>
        </w:tc>
        <w:tc>
          <w:tcPr>
            <w:tcW w:w="5130" w:type="dxa"/>
          </w:tcPr>
          <w:p w:rsidR="009C5BCD" w:rsidRPr="00D856D7" w:rsidRDefault="009C5BCD" w:rsidP="00BA0496">
            <w:pPr>
              <w:spacing w:before="120" w:after="120"/>
              <w:jc w:val="both"/>
              <w:rPr>
                <w:rFonts w:cs="Arial"/>
                <w:b/>
                <w:sz w:val="20"/>
                <w:szCs w:val="22"/>
              </w:rPr>
            </w:pPr>
          </w:p>
        </w:tc>
      </w:tr>
      <w:tr w:rsidR="009C5BCD" w:rsidRPr="00434009" w:rsidTr="003874AD">
        <w:tblPrEx>
          <w:jc w:val="left"/>
        </w:tblPrEx>
        <w:trPr>
          <w:gridAfter w:val="1"/>
          <w:wAfter w:w="10" w:type="dxa"/>
        </w:trPr>
        <w:tc>
          <w:tcPr>
            <w:tcW w:w="715" w:type="dxa"/>
            <w:vAlign w:val="center"/>
          </w:tcPr>
          <w:p w:rsidR="009C5BCD" w:rsidRPr="00E54326" w:rsidRDefault="006A07FB" w:rsidP="00BA0496">
            <w:pPr>
              <w:spacing w:before="120"/>
              <w:jc w:val="center"/>
              <w:rPr>
                <w:rFonts w:cs="Arial"/>
                <w:sz w:val="20"/>
                <w:szCs w:val="22"/>
              </w:rPr>
            </w:pPr>
            <w:r>
              <w:rPr>
                <w:rFonts w:cs="Arial"/>
                <w:sz w:val="20"/>
                <w:szCs w:val="22"/>
              </w:rPr>
              <w:t>5</w:t>
            </w:r>
          </w:p>
        </w:tc>
        <w:tc>
          <w:tcPr>
            <w:tcW w:w="1260" w:type="dxa"/>
            <w:vAlign w:val="center"/>
          </w:tcPr>
          <w:p w:rsidR="009C5BCD" w:rsidRPr="00E54326" w:rsidRDefault="009C5BCD" w:rsidP="00BA0496">
            <w:pPr>
              <w:spacing w:before="120"/>
              <w:jc w:val="center"/>
              <w:rPr>
                <w:rFonts w:cs="Arial"/>
                <w:sz w:val="20"/>
                <w:szCs w:val="22"/>
              </w:rPr>
            </w:pPr>
            <w:r w:rsidRPr="00E54326">
              <w:rPr>
                <w:rFonts w:cs="Arial"/>
                <w:sz w:val="20"/>
                <w:szCs w:val="22"/>
              </w:rPr>
              <w:t>150.4 LPC</w:t>
            </w:r>
          </w:p>
        </w:tc>
        <w:tc>
          <w:tcPr>
            <w:tcW w:w="6300" w:type="dxa"/>
          </w:tcPr>
          <w:p w:rsidR="00C83C05" w:rsidRDefault="009C5BCD" w:rsidP="00BA0496">
            <w:pPr>
              <w:spacing w:before="120" w:after="120"/>
              <w:jc w:val="both"/>
              <w:rPr>
                <w:rFonts w:cs="Arial"/>
                <w:sz w:val="20"/>
                <w:szCs w:val="22"/>
              </w:rPr>
            </w:pPr>
            <w:r w:rsidRPr="00434009">
              <w:rPr>
                <w:rFonts w:cs="Arial"/>
                <w:sz w:val="20"/>
                <w:szCs w:val="22"/>
              </w:rPr>
              <w:t xml:space="preserve">La loi actuelle divise les contrats de louage à long terme de biens en deux catégories, ceux dont la valeur du bien à la fin du contrat de </w:t>
            </w:r>
            <w:r w:rsidRPr="00434009">
              <w:rPr>
                <w:rFonts w:cs="Arial"/>
                <w:sz w:val="20"/>
                <w:szCs w:val="22"/>
              </w:rPr>
              <w:lastRenderedPageBreak/>
              <w:t xml:space="preserve">louage relève, en principe, du commerçant, et ceux dont la même valeur, dite résiduelle, est garantie par le consommateur. </w:t>
            </w:r>
          </w:p>
          <w:p w:rsidR="00C83C05" w:rsidRDefault="009C5BCD" w:rsidP="00BA0496">
            <w:pPr>
              <w:spacing w:before="120" w:after="120"/>
              <w:jc w:val="both"/>
              <w:rPr>
                <w:rFonts w:cs="Arial"/>
                <w:bCs/>
                <w:sz w:val="20"/>
                <w:szCs w:val="22"/>
              </w:rPr>
            </w:pPr>
            <w:r w:rsidRPr="00434009">
              <w:rPr>
                <w:rFonts w:cs="Arial"/>
                <w:sz w:val="20"/>
                <w:szCs w:val="22"/>
              </w:rPr>
              <w:t>Le premier type de contrat est parfois qualifié de contrat de location simple, alors que le deuxième est traité d’une façon analogue aux contrats de crédit. </w:t>
            </w:r>
            <w:r w:rsidRPr="00434009">
              <w:rPr>
                <w:rFonts w:cs="Arial"/>
                <w:bCs/>
                <w:sz w:val="20"/>
                <w:szCs w:val="22"/>
              </w:rPr>
              <w:t xml:space="preserve">Le contrat de location simple qui ne comporte pas d’option d’achat n’a pas à être constaté par écrit. Par ailleurs, le contrat de location simple avec option d’achat, bien qu’il doive être constaté par écrit, est assujetti à un régime beaucoup moins strict en matière de divulgation d’information que le contrat de location à valeur résiduelle garantie. </w:t>
            </w:r>
          </w:p>
          <w:p w:rsidR="009C5BCD" w:rsidRPr="00434009" w:rsidRDefault="009C5BCD" w:rsidP="00BA0496">
            <w:pPr>
              <w:spacing w:before="120" w:after="120"/>
              <w:jc w:val="both"/>
              <w:rPr>
                <w:rFonts w:cs="Arial"/>
                <w:sz w:val="20"/>
                <w:szCs w:val="22"/>
              </w:rPr>
            </w:pPr>
            <w:r w:rsidRPr="00434009">
              <w:rPr>
                <w:rFonts w:cs="Arial"/>
                <w:bCs/>
                <w:sz w:val="20"/>
                <w:szCs w:val="22"/>
              </w:rPr>
              <w:t>Or, certains commerçants qui offrent aux consommateurs de conclure ce type de contrat omettent de leur divulguer plusieurs informations importantes</w:t>
            </w:r>
            <w:r>
              <w:rPr>
                <w:rFonts w:cs="Arial"/>
                <w:bCs/>
                <w:sz w:val="20"/>
                <w:szCs w:val="22"/>
              </w:rPr>
              <w:t>.</w:t>
            </w:r>
          </w:p>
        </w:tc>
        <w:tc>
          <w:tcPr>
            <w:tcW w:w="6030" w:type="dxa"/>
          </w:tcPr>
          <w:p w:rsidR="009C5BCD" w:rsidRPr="00434009" w:rsidRDefault="009C5BCD" w:rsidP="00BA0496">
            <w:pPr>
              <w:spacing w:before="120" w:after="120"/>
              <w:jc w:val="both"/>
              <w:rPr>
                <w:rFonts w:cs="Arial"/>
                <w:sz w:val="20"/>
                <w:szCs w:val="22"/>
              </w:rPr>
            </w:pPr>
            <w:r w:rsidRPr="00434009">
              <w:rPr>
                <w:rFonts w:cs="Arial"/>
                <w:sz w:val="20"/>
                <w:szCs w:val="22"/>
                <w:u w:val="single"/>
              </w:rPr>
              <w:lastRenderedPageBreak/>
              <w:t>Contenu du contrat</w:t>
            </w:r>
            <w:r w:rsidRPr="00434009">
              <w:rPr>
                <w:rFonts w:cs="Arial"/>
                <w:sz w:val="20"/>
                <w:szCs w:val="22"/>
              </w:rPr>
              <w:t xml:space="preserve"> : obligation de constater par écrit tous les contrats de louage à long terme avec certains renseignements </w:t>
            </w:r>
            <w:r w:rsidRPr="00434009">
              <w:rPr>
                <w:rFonts w:cs="Arial"/>
                <w:sz w:val="20"/>
                <w:szCs w:val="22"/>
              </w:rPr>
              <w:lastRenderedPageBreak/>
              <w:t xml:space="preserve">obligatoires dont : </w:t>
            </w:r>
            <w:r w:rsidRPr="00434009">
              <w:rPr>
                <w:rFonts w:cs="Arial"/>
                <w:bCs/>
                <w:sz w:val="20"/>
                <w:szCs w:val="22"/>
              </w:rPr>
              <w:t>valeur au détail du bien loué, frais de crédit implicites, taux de crédit implicite, mention que le contrat comporte ou non une option d’achat ou est à valeur résiduelle garantie (si absence de cette mention, le contrat est réputé comporter une option d’achat).</w:t>
            </w:r>
            <w:r w:rsidRPr="00434009">
              <w:rPr>
                <w:rFonts w:cs="Arial"/>
                <w:sz w:val="20"/>
                <w:szCs w:val="22"/>
              </w:rPr>
              <w:t xml:space="preserve"> </w:t>
            </w:r>
          </w:p>
        </w:tc>
        <w:tc>
          <w:tcPr>
            <w:tcW w:w="5130" w:type="dxa"/>
          </w:tcPr>
          <w:p w:rsidR="009C5BCD" w:rsidRPr="004B7753" w:rsidRDefault="009C5BCD" w:rsidP="00BA0496">
            <w:pPr>
              <w:spacing w:before="120" w:after="120"/>
              <w:jc w:val="both"/>
              <w:rPr>
                <w:rFonts w:cs="Arial"/>
                <w:sz w:val="20"/>
                <w:szCs w:val="22"/>
              </w:rPr>
            </w:pPr>
          </w:p>
        </w:tc>
      </w:tr>
      <w:tr w:rsidR="009C5BCD" w:rsidRPr="00CA2A92" w:rsidTr="003874AD">
        <w:tblPrEx>
          <w:jc w:val="left"/>
        </w:tblPrEx>
        <w:trPr>
          <w:gridAfter w:val="1"/>
          <w:wAfter w:w="10" w:type="dxa"/>
          <w:trHeight w:val="852"/>
        </w:trPr>
        <w:tc>
          <w:tcPr>
            <w:tcW w:w="715" w:type="dxa"/>
            <w:vAlign w:val="center"/>
          </w:tcPr>
          <w:p w:rsidR="009C5BCD" w:rsidRPr="006819C9" w:rsidRDefault="006A07FB" w:rsidP="00BA0496">
            <w:pPr>
              <w:spacing w:before="120"/>
              <w:jc w:val="center"/>
              <w:rPr>
                <w:rFonts w:cs="Arial"/>
                <w:sz w:val="20"/>
                <w:szCs w:val="22"/>
              </w:rPr>
            </w:pPr>
            <w:r>
              <w:rPr>
                <w:rFonts w:cs="Arial"/>
                <w:sz w:val="20"/>
                <w:szCs w:val="22"/>
              </w:rPr>
              <w:t>6</w:t>
            </w:r>
          </w:p>
        </w:tc>
        <w:tc>
          <w:tcPr>
            <w:tcW w:w="1260" w:type="dxa"/>
            <w:vAlign w:val="center"/>
          </w:tcPr>
          <w:p w:rsidR="009C5BCD" w:rsidRPr="006819C9" w:rsidRDefault="009C5BCD" w:rsidP="00BA0496">
            <w:pPr>
              <w:spacing w:before="120"/>
              <w:jc w:val="center"/>
              <w:rPr>
                <w:rFonts w:cs="Arial"/>
                <w:sz w:val="20"/>
                <w:szCs w:val="22"/>
              </w:rPr>
            </w:pPr>
            <w:r w:rsidRPr="006819C9">
              <w:rPr>
                <w:rFonts w:cs="Arial"/>
                <w:sz w:val="20"/>
                <w:szCs w:val="22"/>
              </w:rPr>
              <w:t>150.4.1 LPC</w:t>
            </w:r>
          </w:p>
        </w:tc>
        <w:tc>
          <w:tcPr>
            <w:tcW w:w="6300" w:type="dxa"/>
          </w:tcPr>
          <w:p w:rsidR="009C5BCD" w:rsidRPr="00CA2A92" w:rsidRDefault="009C5BCD" w:rsidP="00BA0496">
            <w:pPr>
              <w:spacing w:before="120" w:after="120"/>
              <w:jc w:val="both"/>
              <w:rPr>
                <w:rFonts w:cs="Arial"/>
                <w:sz w:val="20"/>
                <w:szCs w:val="22"/>
              </w:rPr>
            </w:pPr>
            <w:r w:rsidRPr="00CA2A92">
              <w:rPr>
                <w:rFonts w:cs="Arial"/>
                <w:sz w:val="20"/>
                <w:szCs w:val="22"/>
              </w:rPr>
              <w:t>Alors que le contrat de location n’est pas terminé, certains consommateurs retournent le véhicule au commerçant et signent un nouveau contrat pour un nouveau véhicule. Le commerçant impute à ce nouveau contrat les loyers restants, dans la majorité des cas, à l’insu du consommateur qui s’est procuré un autre véhicule souvent sur invitation du commerçant.</w:t>
            </w:r>
          </w:p>
          <w:p w:rsidR="009C5BCD" w:rsidRPr="00CA2A92" w:rsidRDefault="009C5BCD" w:rsidP="00E140DD">
            <w:pPr>
              <w:spacing w:before="120" w:after="120"/>
              <w:jc w:val="both"/>
              <w:rPr>
                <w:rFonts w:cs="Arial"/>
                <w:sz w:val="20"/>
                <w:szCs w:val="22"/>
              </w:rPr>
            </w:pPr>
            <w:r w:rsidRPr="00CA2A92">
              <w:rPr>
                <w:rFonts w:cs="Arial"/>
                <w:sz w:val="20"/>
                <w:szCs w:val="22"/>
              </w:rPr>
              <w:t xml:space="preserve">Il convient de limiter la dette qui pourra être imputée au nouveau contrat de location à long terme. </w:t>
            </w:r>
          </w:p>
        </w:tc>
        <w:tc>
          <w:tcPr>
            <w:tcW w:w="6030" w:type="dxa"/>
          </w:tcPr>
          <w:p w:rsidR="009C5BCD" w:rsidRPr="006819C9" w:rsidRDefault="009C5BCD" w:rsidP="00BA0496">
            <w:pPr>
              <w:spacing w:before="120" w:after="120"/>
              <w:jc w:val="both"/>
              <w:rPr>
                <w:rFonts w:cs="Arial"/>
                <w:sz w:val="20"/>
                <w:szCs w:val="22"/>
              </w:rPr>
            </w:pPr>
            <w:r w:rsidRPr="00CA2A92">
              <w:rPr>
                <w:rFonts w:cs="Arial"/>
                <w:sz w:val="20"/>
                <w:szCs w:val="22"/>
                <w:u w:val="single"/>
              </w:rPr>
              <w:t>Biens</w:t>
            </w:r>
            <w:r>
              <w:rPr>
                <w:rFonts w:cs="Arial"/>
                <w:sz w:val="20"/>
                <w:szCs w:val="22"/>
                <w:u w:val="single"/>
              </w:rPr>
              <w:t xml:space="preserve"> non</w:t>
            </w:r>
            <w:r w:rsidRPr="00CA2A92">
              <w:rPr>
                <w:rFonts w:cs="Arial"/>
                <w:sz w:val="20"/>
                <w:szCs w:val="22"/>
                <w:u w:val="single"/>
              </w:rPr>
              <w:t xml:space="preserve"> loués le même jour</w:t>
            </w:r>
            <w:r>
              <w:rPr>
                <w:rFonts w:cs="Arial"/>
                <w:sz w:val="20"/>
                <w:szCs w:val="22"/>
              </w:rPr>
              <w:t> : i</w:t>
            </w:r>
            <w:r w:rsidRPr="006819C9">
              <w:rPr>
                <w:rFonts w:cs="Arial"/>
                <w:sz w:val="20"/>
                <w:szCs w:val="22"/>
              </w:rPr>
              <w:t>nterdiction de conclure un contrat qui se rapporte à des biens non loués le même jour.</w:t>
            </w:r>
          </w:p>
          <w:p w:rsidR="009C5BCD" w:rsidRPr="006819C9" w:rsidRDefault="009C5BCD" w:rsidP="00BA0496">
            <w:pPr>
              <w:spacing w:before="120" w:after="120"/>
              <w:jc w:val="both"/>
              <w:rPr>
                <w:rFonts w:cs="Arial"/>
                <w:sz w:val="20"/>
                <w:szCs w:val="22"/>
              </w:rPr>
            </w:pPr>
            <w:r w:rsidRPr="006819C9">
              <w:rPr>
                <w:rFonts w:cs="Arial"/>
                <w:sz w:val="20"/>
                <w:szCs w:val="22"/>
              </w:rPr>
              <w:t>Toutefois, un locateur pourra porter au contrat le solde d’une dette découlant d’un contrat relatif à un bien donné en échange. Ce solde ne peut être supérieur à 20 % du prix de la valeur au détail du bien loué.</w:t>
            </w:r>
          </w:p>
        </w:tc>
        <w:tc>
          <w:tcPr>
            <w:tcW w:w="5130" w:type="dxa"/>
          </w:tcPr>
          <w:p w:rsidR="009C5BCD" w:rsidRPr="004B7753" w:rsidRDefault="009C5BCD" w:rsidP="00BA0496">
            <w:pPr>
              <w:spacing w:before="120" w:after="120"/>
              <w:jc w:val="both"/>
              <w:rPr>
                <w:rFonts w:cs="Arial"/>
                <w:sz w:val="20"/>
                <w:szCs w:val="22"/>
              </w:rPr>
            </w:pPr>
          </w:p>
        </w:tc>
      </w:tr>
      <w:tr w:rsidR="00245548" w:rsidRPr="00CA2A92" w:rsidTr="00E140DD">
        <w:tblPrEx>
          <w:jc w:val="left"/>
        </w:tblPrEx>
        <w:trPr>
          <w:gridAfter w:val="1"/>
          <w:wAfter w:w="10" w:type="dxa"/>
          <w:trHeight w:val="449"/>
        </w:trPr>
        <w:tc>
          <w:tcPr>
            <w:tcW w:w="715" w:type="dxa"/>
            <w:vAlign w:val="center"/>
          </w:tcPr>
          <w:p w:rsidR="00245548" w:rsidRDefault="006A07FB" w:rsidP="00BA0496">
            <w:pPr>
              <w:spacing w:before="120"/>
              <w:jc w:val="center"/>
              <w:rPr>
                <w:rFonts w:cs="Arial"/>
                <w:sz w:val="20"/>
                <w:szCs w:val="22"/>
              </w:rPr>
            </w:pPr>
            <w:r>
              <w:rPr>
                <w:rFonts w:cs="Arial"/>
                <w:sz w:val="20"/>
                <w:szCs w:val="22"/>
              </w:rPr>
              <w:t>7</w:t>
            </w:r>
          </w:p>
        </w:tc>
        <w:tc>
          <w:tcPr>
            <w:tcW w:w="1260" w:type="dxa"/>
            <w:vAlign w:val="center"/>
          </w:tcPr>
          <w:p w:rsidR="00245548" w:rsidRPr="006819C9" w:rsidRDefault="00245548" w:rsidP="00BA0496">
            <w:pPr>
              <w:spacing w:before="120"/>
              <w:jc w:val="center"/>
              <w:rPr>
                <w:rFonts w:cs="Arial"/>
                <w:sz w:val="20"/>
                <w:szCs w:val="22"/>
              </w:rPr>
            </w:pPr>
            <w:r w:rsidRPr="0035032E">
              <w:rPr>
                <w:rFonts w:cs="Arial"/>
                <w:sz w:val="20"/>
                <w:szCs w:val="22"/>
              </w:rPr>
              <w:t>150.3</w:t>
            </w:r>
            <w:proofErr w:type="gramStart"/>
            <w:r w:rsidRPr="0035032E">
              <w:rPr>
                <w:rFonts w:cs="Arial"/>
                <w:sz w:val="20"/>
                <w:szCs w:val="22"/>
              </w:rPr>
              <w:t>.X</w:t>
            </w:r>
            <w:proofErr w:type="gramEnd"/>
          </w:p>
        </w:tc>
        <w:tc>
          <w:tcPr>
            <w:tcW w:w="6300" w:type="dxa"/>
          </w:tcPr>
          <w:p w:rsidR="00BA0496" w:rsidRDefault="00245548" w:rsidP="001C2ADD">
            <w:pPr>
              <w:spacing w:before="120" w:after="120"/>
              <w:jc w:val="both"/>
              <w:rPr>
                <w:rFonts w:cs="Arial"/>
                <w:sz w:val="20"/>
                <w:szCs w:val="22"/>
              </w:rPr>
            </w:pPr>
            <w:r>
              <w:rPr>
                <w:rFonts w:cs="Arial"/>
                <w:sz w:val="20"/>
                <w:szCs w:val="22"/>
              </w:rPr>
              <w:t xml:space="preserve">La loi 24, adoptée le 15 novembre 2017, prévoit plusieurs règles </w:t>
            </w:r>
            <w:r w:rsidR="001C2ADD" w:rsidRPr="001C2ADD">
              <w:rPr>
                <w:rFonts w:cs="Arial"/>
                <w:sz w:val="20"/>
                <w:szCs w:val="22"/>
              </w:rPr>
              <w:t>(</w:t>
            </w:r>
            <w:r w:rsidR="00E140DD">
              <w:rPr>
                <w:rFonts w:cs="Arial"/>
                <w:sz w:val="20"/>
                <w:szCs w:val="22"/>
              </w:rPr>
              <w:t xml:space="preserve">ex : </w:t>
            </w:r>
            <w:r w:rsidR="001C2ADD" w:rsidRPr="001C2ADD">
              <w:rPr>
                <w:rFonts w:cs="Arial"/>
                <w:sz w:val="20"/>
                <w:szCs w:val="22"/>
              </w:rPr>
              <w:t>permis, droit de résolution de 10 jours, remise avant la conclusion du contrat d’un document contenant certaines info</w:t>
            </w:r>
            <w:r w:rsidR="00E140DD">
              <w:rPr>
                <w:rFonts w:cs="Arial"/>
                <w:sz w:val="20"/>
                <w:szCs w:val="22"/>
              </w:rPr>
              <w:t>rmations</w:t>
            </w:r>
            <w:r w:rsidR="001C2ADD" w:rsidRPr="001C2ADD">
              <w:rPr>
                <w:rFonts w:cs="Arial"/>
                <w:sz w:val="20"/>
                <w:szCs w:val="22"/>
              </w:rPr>
              <w:t>, présomption de lésion si le ratio d’endettement du consommateur excède un certain pourcentage)</w:t>
            </w:r>
            <w:r w:rsidR="00BA0496">
              <w:rPr>
                <w:rFonts w:cs="Arial"/>
                <w:sz w:val="20"/>
                <w:szCs w:val="22"/>
              </w:rPr>
              <w:t xml:space="preserve"> qui sont </w:t>
            </w:r>
            <w:r>
              <w:rPr>
                <w:rFonts w:cs="Arial"/>
                <w:sz w:val="20"/>
                <w:szCs w:val="22"/>
              </w:rPr>
              <w:t xml:space="preserve">applicables à un contrat de crédit à coût élevé, </w:t>
            </w:r>
            <w:r w:rsidR="001C2ADD">
              <w:rPr>
                <w:rFonts w:cs="Arial"/>
                <w:sz w:val="20"/>
                <w:szCs w:val="22"/>
              </w:rPr>
              <w:t>c’est-à-</w:t>
            </w:r>
            <w:r w:rsidR="00BA0496">
              <w:rPr>
                <w:rFonts w:cs="Arial"/>
                <w:sz w:val="20"/>
                <w:szCs w:val="22"/>
              </w:rPr>
              <w:t xml:space="preserve">dire </w:t>
            </w:r>
            <w:r w:rsidR="0009097D">
              <w:rPr>
                <w:rFonts w:cs="Arial"/>
                <w:sz w:val="20"/>
                <w:szCs w:val="22"/>
              </w:rPr>
              <w:t xml:space="preserve">à </w:t>
            </w:r>
            <w:r w:rsidR="00BA0496">
              <w:rPr>
                <w:rFonts w:cs="Arial"/>
                <w:sz w:val="20"/>
                <w:szCs w:val="22"/>
              </w:rPr>
              <w:t>un contrat dont le taux de crédit annuel excède le</w:t>
            </w:r>
            <w:r w:rsidR="001C2ADD" w:rsidRPr="001C2ADD">
              <w:rPr>
                <w:rFonts w:cs="Arial"/>
                <w:sz w:val="20"/>
                <w:szCs w:val="22"/>
              </w:rPr>
              <w:t xml:space="preserve"> taux</w:t>
            </w:r>
            <w:r w:rsidR="00BA0496">
              <w:rPr>
                <w:rFonts w:cs="Arial"/>
                <w:sz w:val="20"/>
                <w:szCs w:val="22"/>
              </w:rPr>
              <w:t xml:space="preserve"> obtenu en majorant de 22 points de pourcentage le taux</w:t>
            </w:r>
            <w:r w:rsidR="001C2ADD" w:rsidRPr="001C2ADD">
              <w:rPr>
                <w:rFonts w:cs="Arial"/>
                <w:sz w:val="20"/>
                <w:szCs w:val="22"/>
              </w:rPr>
              <w:t xml:space="preserve"> </w:t>
            </w:r>
            <w:r w:rsidR="00BA0496">
              <w:rPr>
                <w:rFonts w:cs="Arial"/>
                <w:sz w:val="20"/>
                <w:szCs w:val="22"/>
              </w:rPr>
              <w:t xml:space="preserve">officiel </w:t>
            </w:r>
            <w:r w:rsidR="001C2ADD" w:rsidRPr="001C2ADD">
              <w:rPr>
                <w:rFonts w:cs="Arial"/>
                <w:sz w:val="20"/>
                <w:szCs w:val="22"/>
              </w:rPr>
              <w:t>d’escompte de la Banque du Canada</w:t>
            </w:r>
            <w:r w:rsidR="00BA0496">
              <w:rPr>
                <w:rFonts w:cs="Arial"/>
                <w:sz w:val="20"/>
                <w:szCs w:val="22"/>
              </w:rPr>
              <w:t>.</w:t>
            </w:r>
          </w:p>
          <w:p w:rsidR="001C2ADD" w:rsidRPr="00CA2A92" w:rsidRDefault="0009097D" w:rsidP="0009097D">
            <w:pPr>
              <w:spacing w:before="120" w:after="120"/>
              <w:jc w:val="both"/>
              <w:rPr>
                <w:rFonts w:cs="Arial"/>
                <w:sz w:val="20"/>
                <w:szCs w:val="22"/>
              </w:rPr>
            </w:pPr>
            <w:r>
              <w:rPr>
                <w:rFonts w:cs="Arial"/>
                <w:sz w:val="20"/>
                <w:szCs w:val="22"/>
              </w:rPr>
              <w:lastRenderedPageBreak/>
              <w:t>Puisque</w:t>
            </w:r>
            <w:r w:rsidR="00BA0496" w:rsidRPr="00BA0496">
              <w:rPr>
                <w:rFonts w:cs="Arial"/>
                <w:sz w:val="20"/>
                <w:szCs w:val="22"/>
              </w:rPr>
              <w:t xml:space="preserve"> </w:t>
            </w:r>
            <w:r>
              <w:rPr>
                <w:rFonts w:cs="Arial"/>
                <w:sz w:val="20"/>
                <w:szCs w:val="22"/>
              </w:rPr>
              <w:t xml:space="preserve">la </w:t>
            </w:r>
            <w:r w:rsidRPr="0009097D">
              <w:rPr>
                <w:rFonts w:cs="Arial"/>
                <w:sz w:val="20"/>
                <w:szCs w:val="22"/>
              </w:rPr>
              <w:t>location à long terme de biens</w:t>
            </w:r>
            <w:r>
              <w:rPr>
                <w:rFonts w:cs="Arial"/>
                <w:sz w:val="20"/>
                <w:szCs w:val="22"/>
              </w:rPr>
              <w:t xml:space="preserve"> </w:t>
            </w:r>
            <w:r w:rsidRPr="0009097D">
              <w:rPr>
                <w:rFonts w:cs="Arial"/>
                <w:sz w:val="20"/>
                <w:szCs w:val="22"/>
              </w:rPr>
              <w:t xml:space="preserve">est devenue un véritable mode de financement des biens au même titre que la vente à tempérament </w:t>
            </w:r>
            <w:r>
              <w:rPr>
                <w:rFonts w:cs="Arial"/>
                <w:sz w:val="20"/>
                <w:szCs w:val="22"/>
              </w:rPr>
              <w:t xml:space="preserve">et puisque qu’il est </w:t>
            </w:r>
            <w:r w:rsidR="00BA0496" w:rsidRPr="00BA0496">
              <w:rPr>
                <w:rFonts w:cs="Arial"/>
                <w:sz w:val="20"/>
                <w:szCs w:val="22"/>
              </w:rPr>
              <w:t>proposé que plusieurs règles, dont celles relatives aux frais de crédit implicites et au calcul du taux de crédit implicite, s’appliquent à tous les types de contrat de louage à long term</w:t>
            </w:r>
            <w:r>
              <w:rPr>
                <w:rFonts w:cs="Arial"/>
                <w:sz w:val="20"/>
                <w:szCs w:val="22"/>
              </w:rPr>
              <w:t>e de biens, la LPC devrait prévoir l’application au contrat de location à long terme de bien à coût élevé de règles similaires à celles applicables au contrat de crédit à coût élevé.</w:t>
            </w:r>
          </w:p>
        </w:tc>
        <w:tc>
          <w:tcPr>
            <w:tcW w:w="6030" w:type="dxa"/>
          </w:tcPr>
          <w:p w:rsidR="00245548" w:rsidRPr="00CA2A92" w:rsidRDefault="00245548" w:rsidP="00BA0496">
            <w:pPr>
              <w:spacing w:before="120" w:after="120"/>
              <w:jc w:val="both"/>
              <w:rPr>
                <w:rFonts w:cs="Arial"/>
                <w:sz w:val="20"/>
                <w:szCs w:val="22"/>
                <w:u w:val="single"/>
              </w:rPr>
            </w:pPr>
            <w:r w:rsidRPr="0035032E">
              <w:rPr>
                <w:rFonts w:cs="Arial"/>
                <w:sz w:val="20"/>
                <w:szCs w:val="22"/>
                <w:u w:val="single"/>
              </w:rPr>
              <w:lastRenderedPageBreak/>
              <w:t xml:space="preserve">Contrat </w:t>
            </w:r>
            <w:r w:rsidR="00BC7602" w:rsidRPr="0035032E">
              <w:rPr>
                <w:rFonts w:cs="Arial"/>
                <w:sz w:val="20"/>
                <w:szCs w:val="22"/>
                <w:u w:val="single"/>
              </w:rPr>
              <w:t>de location</w:t>
            </w:r>
            <w:r w:rsidR="00045DEC" w:rsidRPr="0035032E">
              <w:rPr>
                <w:rFonts w:cs="Arial"/>
                <w:sz w:val="20"/>
                <w:szCs w:val="22"/>
                <w:u w:val="single"/>
              </w:rPr>
              <w:t xml:space="preserve"> à long terme</w:t>
            </w:r>
            <w:r w:rsidR="00BC7602" w:rsidRPr="0035032E">
              <w:rPr>
                <w:rFonts w:cs="Arial"/>
                <w:sz w:val="20"/>
                <w:szCs w:val="22"/>
                <w:u w:val="single"/>
              </w:rPr>
              <w:t xml:space="preserve"> </w:t>
            </w:r>
            <w:r w:rsidR="00BA0496" w:rsidRPr="0035032E">
              <w:rPr>
                <w:rFonts w:cs="Arial"/>
                <w:sz w:val="20"/>
                <w:szCs w:val="22"/>
                <w:u w:val="single"/>
              </w:rPr>
              <w:t>à coût élevé</w:t>
            </w:r>
            <w:r w:rsidRPr="0035032E">
              <w:rPr>
                <w:rFonts w:cs="Arial"/>
                <w:sz w:val="20"/>
                <w:szCs w:val="22"/>
              </w:rPr>
              <w:t> : application au</w:t>
            </w:r>
            <w:r w:rsidR="001C2ADD" w:rsidRPr="0035032E">
              <w:rPr>
                <w:rFonts w:cs="Arial"/>
                <w:sz w:val="20"/>
                <w:szCs w:val="22"/>
              </w:rPr>
              <w:t xml:space="preserve">x contrats </w:t>
            </w:r>
            <w:r w:rsidRPr="0035032E">
              <w:rPr>
                <w:rFonts w:cs="Arial"/>
                <w:sz w:val="20"/>
                <w:szCs w:val="22"/>
              </w:rPr>
              <w:t xml:space="preserve">de location à long terme </w:t>
            </w:r>
            <w:r w:rsidR="0009097D" w:rsidRPr="0035032E">
              <w:rPr>
                <w:rFonts w:cs="Arial"/>
                <w:sz w:val="20"/>
                <w:szCs w:val="22"/>
              </w:rPr>
              <w:t xml:space="preserve">de biens </w:t>
            </w:r>
            <w:r w:rsidRPr="0035032E">
              <w:rPr>
                <w:rFonts w:cs="Arial"/>
                <w:sz w:val="20"/>
                <w:szCs w:val="22"/>
              </w:rPr>
              <w:t xml:space="preserve">à coût élevé </w:t>
            </w:r>
            <w:r w:rsidR="001C2ADD" w:rsidRPr="0035032E">
              <w:rPr>
                <w:rFonts w:cs="Arial"/>
                <w:sz w:val="20"/>
                <w:szCs w:val="22"/>
              </w:rPr>
              <w:t>de règles semblables à celles applicables aux contrats de crédit à coût élevé.</w:t>
            </w:r>
          </w:p>
        </w:tc>
        <w:tc>
          <w:tcPr>
            <w:tcW w:w="5130" w:type="dxa"/>
          </w:tcPr>
          <w:p w:rsidR="00245548" w:rsidRPr="004B7753" w:rsidRDefault="00245548" w:rsidP="00BA0496">
            <w:pPr>
              <w:spacing w:before="120" w:after="120"/>
              <w:jc w:val="both"/>
              <w:rPr>
                <w:rFonts w:cs="Arial"/>
                <w:sz w:val="20"/>
                <w:szCs w:val="20"/>
              </w:rPr>
            </w:pPr>
          </w:p>
        </w:tc>
      </w:tr>
      <w:tr w:rsidR="009C5BCD" w:rsidRPr="00434009" w:rsidTr="003874AD">
        <w:tblPrEx>
          <w:jc w:val="left"/>
        </w:tblPrEx>
        <w:trPr>
          <w:gridAfter w:val="1"/>
          <w:wAfter w:w="10" w:type="dxa"/>
        </w:trPr>
        <w:tc>
          <w:tcPr>
            <w:tcW w:w="715" w:type="dxa"/>
            <w:vAlign w:val="center"/>
          </w:tcPr>
          <w:p w:rsidR="009C5BCD" w:rsidRPr="00E54326" w:rsidRDefault="006A07FB" w:rsidP="00BA0496">
            <w:pPr>
              <w:spacing w:before="120"/>
              <w:jc w:val="center"/>
              <w:rPr>
                <w:rFonts w:cs="Arial"/>
                <w:sz w:val="20"/>
                <w:szCs w:val="22"/>
              </w:rPr>
            </w:pPr>
            <w:r>
              <w:rPr>
                <w:rFonts w:cs="Arial"/>
                <w:sz w:val="20"/>
                <w:szCs w:val="22"/>
              </w:rPr>
              <w:t>8</w:t>
            </w:r>
          </w:p>
        </w:tc>
        <w:tc>
          <w:tcPr>
            <w:tcW w:w="1260" w:type="dxa"/>
            <w:vAlign w:val="center"/>
          </w:tcPr>
          <w:p w:rsidR="009C5BCD" w:rsidRPr="00E54326" w:rsidRDefault="009C5BCD" w:rsidP="00BA0496">
            <w:pPr>
              <w:spacing w:before="120"/>
              <w:jc w:val="center"/>
              <w:rPr>
                <w:rFonts w:cs="Arial"/>
                <w:sz w:val="20"/>
                <w:szCs w:val="22"/>
              </w:rPr>
            </w:pPr>
            <w:r w:rsidRPr="0035032E">
              <w:rPr>
                <w:rFonts w:cs="Arial"/>
                <w:sz w:val="20"/>
                <w:szCs w:val="22"/>
              </w:rPr>
              <w:t>150.3.7 LPC</w:t>
            </w:r>
          </w:p>
        </w:tc>
        <w:tc>
          <w:tcPr>
            <w:tcW w:w="6300" w:type="dxa"/>
          </w:tcPr>
          <w:p w:rsidR="009C5BCD" w:rsidRPr="00434009" w:rsidRDefault="00245548" w:rsidP="00E140DD">
            <w:pPr>
              <w:spacing w:before="120" w:after="120"/>
              <w:jc w:val="both"/>
              <w:rPr>
                <w:rFonts w:cs="Arial"/>
                <w:sz w:val="20"/>
                <w:szCs w:val="22"/>
                <w:highlight w:val="yellow"/>
              </w:rPr>
            </w:pPr>
            <w:r>
              <w:rPr>
                <w:rFonts w:cs="Arial"/>
                <w:sz w:val="20"/>
                <w:szCs w:val="22"/>
              </w:rPr>
              <w:t xml:space="preserve">La loi 24 </w:t>
            </w:r>
            <w:r w:rsidR="009C5BCD">
              <w:rPr>
                <w:rFonts w:cs="Arial"/>
                <w:sz w:val="20"/>
                <w:szCs w:val="22"/>
              </w:rPr>
              <w:t xml:space="preserve">modifie l’article 70 de la LPC de façon à ce que celui-ci indique certains frais qui </w:t>
            </w:r>
            <w:r w:rsidR="009C5BCD" w:rsidRPr="00790ECD">
              <w:rPr>
                <w:rFonts w:cs="Arial"/>
                <w:sz w:val="20"/>
                <w:szCs w:val="22"/>
              </w:rPr>
              <w:t>ne constituent pas des composantes des frais de crédit</w:t>
            </w:r>
            <w:r w:rsidR="009C5BCD">
              <w:rPr>
                <w:rFonts w:cs="Arial"/>
                <w:sz w:val="20"/>
                <w:szCs w:val="22"/>
              </w:rPr>
              <w:t>. Cette modification entrera en vigueur le 1</w:t>
            </w:r>
            <w:r w:rsidR="009C5BCD" w:rsidRPr="00790ECD">
              <w:rPr>
                <w:rFonts w:cs="Arial"/>
                <w:sz w:val="20"/>
                <w:szCs w:val="22"/>
                <w:vertAlign w:val="superscript"/>
              </w:rPr>
              <w:t>er</w:t>
            </w:r>
            <w:r w:rsidR="009C5BCD">
              <w:rPr>
                <w:rFonts w:cs="Arial"/>
                <w:sz w:val="20"/>
                <w:szCs w:val="22"/>
              </w:rPr>
              <w:t xml:space="preserve"> août 2019.  Comme pour l’article 70,</w:t>
            </w:r>
            <w:r w:rsidR="009C5BCD" w:rsidRPr="00434009">
              <w:rPr>
                <w:rFonts w:cs="Arial"/>
                <w:sz w:val="20"/>
                <w:szCs w:val="22"/>
              </w:rPr>
              <w:t xml:space="preserve"> </w:t>
            </w:r>
            <w:r w:rsidR="009C5BCD">
              <w:rPr>
                <w:rFonts w:cs="Arial"/>
                <w:sz w:val="20"/>
                <w:szCs w:val="22"/>
              </w:rPr>
              <w:t>tel que modifié par la loi 24</w:t>
            </w:r>
            <w:r w:rsidR="009C5BCD" w:rsidRPr="00434009">
              <w:rPr>
                <w:rFonts w:cs="Arial"/>
                <w:sz w:val="20"/>
                <w:szCs w:val="22"/>
              </w:rPr>
              <w:t xml:space="preserve">, il s’agit ici </w:t>
            </w:r>
            <w:r w:rsidR="00E140DD">
              <w:rPr>
                <w:rFonts w:cs="Arial"/>
                <w:sz w:val="20"/>
                <w:szCs w:val="22"/>
              </w:rPr>
              <w:t>de prévoir que</w:t>
            </w:r>
            <w:r w:rsidR="009C5BCD" w:rsidRPr="00434009">
              <w:rPr>
                <w:rFonts w:cs="Arial"/>
                <w:sz w:val="20"/>
                <w:szCs w:val="22"/>
              </w:rPr>
              <w:t xml:space="preserve"> certains frais </w:t>
            </w:r>
            <w:r w:rsidR="00E140DD">
              <w:rPr>
                <w:rFonts w:cs="Arial"/>
                <w:sz w:val="20"/>
                <w:szCs w:val="22"/>
              </w:rPr>
              <w:t xml:space="preserve">ne constituent pas des composantes des frais </w:t>
            </w:r>
            <w:r w:rsidR="009C5BCD" w:rsidRPr="00434009">
              <w:rPr>
                <w:rFonts w:cs="Arial"/>
                <w:sz w:val="20"/>
                <w:szCs w:val="22"/>
              </w:rPr>
              <w:t xml:space="preserve">de crédit </w:t>
            </w:r>
            <w:r w:rsidR="00E140DD">
              <w:rPr>
                <w:rFonts w:cs="Arial"/>
                <w:sz w:val="20"/>
                <w:szCs w:val="22"/>
              </w:rPr>
              <w:t>implicites.</w:t>
            </w:r>
          </w:p>
        </w:tc>
        <w:tc>
          <w:tcPr>
            <w:tcW w:w="6030" w:type="dxa"/>
          </w:tcPr>
          <w:p w:rsidR="009C5BCD" w:rsidRPr="00434009" w:rsidRDefault="009C5BCD" w:rsidP="00BA0496">
            <w:pPr>
              <w:spacing w:before="120" w:after="120"/>
              <w:jc w:val="both"/>
              <w:rPr>
                <w:rFonts w:cs="Arial"/>
                <w:sz w:val="20"/>
                <w:szCs w:val="22"/>
              </w:rPr>
            </w:pPr>
            <w:r w:rsidRPr="00434009">
              <w:rPr>
                <w:rFonts w:cs="Arial"/>
                <w:sz w:val="20"/>
                <w:szCs w:val="22"/>
                <w:u w:val="single"/>
              </w:rPr>
              <w:t xml:space="preserve">Exclusion de certains frais </w:t>
            </w:r>
            <w:r>
              <w:rPr>
                <w:rFonts w:cs="Arial"/>
                <w:sz w:val="20"/>
                <w:szCs w:val="22"/>
                <w:u w:val="single"/>
              </w:rPr>
              <w:t>du calcul du taux</w:t>
            </w:r>
            <w:r w:rsidRPr="00434009">
              <w:rPr>
                <w:rFonts w:cs="Arial"/>
                <w:sz w:val="20"/>
                <w:szCs w:val="22"/>
                <w:u w:val="single"/>
              </w:rPr>
              <w:t xml:space="preserve"> de crédit implicites</w:t>
            </w:r>
            <w:r w:rsidRPr="00434009">
              <w:rPr>
                <w:rFonts w:cs="Arial"/>
                <w:sz w:val="20"/>
                <w:szCs w:val="22"/>
              </w:rPr>
              <w:t xml:space="preserve"> : </w:t>
            </w:r>
            <w:r>
              <w:rPr>
                <w:rFonts w:cs="Arial"/>
                <w:sz w:val="20"/>
                <w:szCs w:val="22"/>
              </w:rPr>
              <w:t xml:space="preserve">ex : </w:t>
            </w:r>
            <w:r w:rsidRPr="00434009">
              <w:rPr>
                <w:rFonts w:cs="Arial"/>
                <w:sz w:val="20"/>
                <w:szCs w:val="22"/>
              </w:rPr>
              <w:t>frais d’inscription au RDPRM et autres frais prévus par règlement.</w:t>
            </w:r>
          </w:p>
        </w:tc>
        <w:tc>
          <w:tcPr>
            <w:tcW w:w="5130" w:type="dxa"/>
          </w:tcPr>
          <w:p w:rsidR="00CC4174" w:rsidRPr="004B7753" w:rsidRDefault="00CC4174" w:rsidP="00BA0496">
            <w:pPr>
              <w:spacing w:before="120" w:after="120"/>
              <w:jc w:val="both"/>
              <w:rPr>
                <w:rFonts w:cs="Arial"/>
                <w:sz w:val="20"/>
                <w:szCs w:val="22"/>
              </w:rPr>
            </w:pPr>
          </w:p>
        </w:tc>
      </w:tr>
      <w:tr w:rsidR="003330D8" w:rsidRPr="00434009" w:rsidTr="003874AD">
        <w:tblPrEx>
          <w:jc w:val="left"/>
        </w:tblPrEx>
        <w:trPr>
          <w:gridAfter w:val="1"/>
          <w:wAfter w:w="10" w:type="dxa"/>
        </w:trPr>
        <w:tc>
          <w:tcPr>
            <w:tcW w:w="715" w:type="dxa"/>
            <w:vAlign w:val="center"/>
          </w:tcPr>
          <w:p w:rsidR="003330D8" w:rsidRDefault="006A07FB" w:rsidP="00BA0496">
            <w:pPr>
              <w:spacing w:before="120"/>
              <w:jc w:val="center"/>
              <w:rPr>
                <w:rFonts w:cs="Arial"/>
                <w:sz w:val="20"/>
                <w:szCs w:val="22"/>
              </w:rPr>
            </w:pPr>
            <w:r>
              <w:rPr>
                <w:rFonts w:cs="Arial"/>
                <w:sz w:val="20"/>
                <w:szCs w:val="22"/>
              </w:rPr>
              <w:t>9</w:t>
            </w:r>
          </w:p>
        </w:tc>
        <w:tc>
          <w:tcPr>
            <w:tcW w:w="1260" w:type="dxa"/>
            <w:vAlign w:val="center"/>
          </w:tcPr>
          <w:p w:rsidR="003330D8" w:rsidRPr="00E54326" w:rsidRDefault="00245548" w:rsidP="00BA0496">
            <w:pPr>
              <w:spacing w:before="120"/>
              <w:jc w:val="center"/>
              <w:rPr>
                <w:rFonts w:cs="Arial"/>
                <w:sz w:val="20"/>
                <w:szCs w:val="22"/>
              </w:rPr>
            </w:pPr>
            <w:r w:rsidRPr="0035032E">
              <w:rPr>
                <w:rFonts w:cs="Arial"/>
                <w:sz w:val="20"/>
                <w:szCs w:val="22"/>
              </w:rPr>
              <w:t>150.3.9 LPC</w:t>
            </w:r>
          </w:p>
        </w:tc>
        <w:tc>
          <w:tcPr>
            <w:tcW w:w="6300" w:type="dxa"/>
          </w:tcPr>
          <w:p w:rsidR="003330D8" w:rsidRDefault="003330D8" w:rsidP="00BA0496">
            <w:pPr>
              <w:spacing w:before="120" w:after="120"/>
              <w:jc w:val="both"/>
              <w:rPr>
                <w:rFonts w:cs="Arial"/>
                <w:sz w:val="20"/>
                <w:szCs w:val="22"/>
              </w:rPr>
            </w:pPr>
            <w:r>
              <w:rPr>
                <w:rFonts w:cs="Arial"/>
                <w:sz w:val="20"/>
                <w:szCs w:val="22"/>
              </w:rPr>
              <w:t>L’article 150.3.1</w:t>
            </w:r>
            <w:r w:rsidR="009E167C">
              <w:rPr>
                <w:rFonts w:cs="Arial"/>
                <w:sz w:val="20"/>
                <w:szCs w:val="22"/>
              </w:rPr>
              <w:t xml:space="preserve"> LPC,</w:t>
            </w:r>
            <w:r>
              <w:rPr>
                <w:rFonts w:cs="Arial"/>
                <w:sz w:val="20"/>
                <w:szCs w:val="22"/>
              </w:rPr>
              <w:t xml:space="preserve"> qui prévoit que le commerçant a l’obligation d’</w:t>
            </w:r>
            <w:r w:rsidR="009E167C">
              <w:rPr>
                <w:rFonts w:cs="Arial"/>
                <w:sz w:val="20"/>
                <w:szCs w:val="22"/>
              </w:rPr>
              <w:t>évaluer la capacité du consommateur d’</w:t>
            </w:r>
            <w:r w:rsidR="00622FA7">
              <w:rPr>
                <w:rFonts w:cs="Arial"/>
                <w:sz w:val="20"/>
                <w:szCs w:val="22"/>
              </w:rPr>
              <w:t>exécuter l</w:t>
            </w:r>
            <w:r w:rsidR="009E167C">
              <w:rPr>
                <w:rFonts w:cs="Arial"/>
                <w:sz w:val="20"/>
                <w:szCs w:val="22"/>
              </w:rPr>
              <w:t>es obligations</w:t>
            </w:r>
            <w:r w:rsidR="00622FA7">
              <w:rPr>
                <w:rFonts w:cs="Arial"/>
                <w:sz w:val="20"/>
                <w:szCs w:val="22"/>
              </w:rPr>
              <w:t xml:space="preserve"> découlant du contrat</w:t>
            </w:r>
            <w:r w:rsidR="00CB0D0E">
              <w:rPr>
                <w:rFonts w:cs="Arial"/>
                <w:sz w:val="20"/>
                <w:szCs w:val="22"/>
              </w:rPr>
              <w:t xml:space="preserve"> de location à long terme</w:t>
            </w:r>
            <w:r w:rsidR="009E167C">
              <w:rPr>
                <w:rFonts w:cs="Arial"/>
                <w:sz w:val="20"/>
                <w:szCs w:val="22"/>
              </w:rPr>
              <w:t>, entrera en vigueur le 1</w:t>
            </w:r>
            <w:r w:rsidR="009E167C" w:rsidRPr="009E167C">
              <w:rPr>
                <w:rFonts w:cs="Arial"/>
                <w:sz w:val="20"/>
                <w:szCs w:val="22"/>
                <w:vertAlign w:val="superscript"/>
              </w:rPr>
              <w:t>er</w:t>
            </w:r>
            <w:r w:rsidR="009E167C">
              <w:rPr>
                <w:rFonts w:cs="Arial"/>
                <w:sz w:val="20"/>
                <w:szCs w:val="22"/>
              </w:rPr>
              <w:t xml:space="preserve"> août 2019.</w:t>
            </w:r>
            <w:r>
              <w:rPr>
                <w:rFonts w:cs="Arial"/>
                <w:sz w:val="20"/>
                <w:szCs w:val="22"/>
              </w:rPr>
              <w:t xml:space="preserve"> Contrairement à l’article 103</w:t>
            </w:r>
            <w:r w:rsidR="009E167C">
              <w:rPr>
                <w:rFonts w:cs="Arial"/>
                <w:sz w:val="20"/>
                <w:szCs w:val="22"/>
              </w:rPr>
              <w:t>.2 LPC,</w:t>
            </w:r>
            <w:r>
              <w:rPr>
                <w:rFonts w:cs="Arial"/>
                <w:sz w:val="20"/>
                <w:szCs w:val="22"/>
              </w:rPr>
              <w:t xml:space="preserve"> qui prévoit qu’avant la conclusion d’un contrat de crédit le commerçant doit évaluer la capacité du consommateur à rembourser le crédit demandé, l’article 150.3.1 ne prévoit pas que si le commer</w:t>
            </w:r>
            <w:r w:rsidR="00CB0D0E">
              <w:rPr>
                <w:rFonts w:cs="Arial"/>
                <w:sz w:val="20"/>
                <w:szCs w:val="22"/>
              </w:rPr>
              <w:t xml:space="preserve">çant omet de faire l’évaluation, </w:t>
            </w:r>
            <w:r>
              <w:rPr>
                <w:rFonts w:cs="Arial"/>
                <w:sz w:val="20"/>
                <w:szCs w:val="22"/>
              </w:rPr>
              <w:t>celui-ci perd le droit aux frais de crédit</w:t>
            </w:r>
            <w:r w:rsidR="009E167C">
              <w:rPr>
                <w:rFonts w:cs="Arial"/>
                <w:sz w:val="20"/>
                <w:szCs w:val="22"/>
              </w:rPr>
              <w:t xml:space="preserve"> et doit rembourser les frais de crédit que le consommateur a déjà payés.</w:t>
            </w:r>
          </w:p>
          <w:p w:rsidR="009E167C" w:rsidRDefault="003330D8" w:rsidP="00CB0D0E">
            <w:pPr>
              <w:spacing w:before="120" w:after="120"/>
              <w:jc w:val="both"/>
              <w:rPr>
                <w:rFonts w:cs="Arial"/>
                <w:sz w:val="20"/>
                <w:szCs w:val="22"/>
              </w:rPr>
            </w:pPr>
            <w:r>
              <w:rPr>
                <w:rFonts w:cs="Arial"/>
                <w:sz w:val="20"/>
                <w:szCs w:val="22"/>
              </w:rPr>
              <w:t>Com</w:t>
            </w:r>
            <w:r w:rsidR="009E167C">
              <w:rPr>
                <w:rFonts w:cs="Arial"/>
                <w:sz w:val="20"/>
                <w:szCs w:val="22"/>
              </w:rPr>
              <w:t>me il est proposé</w:t>
            </w:r>
            <w:r w:rsidR="00622FA7">
              <w:rPr>
                <w:rFonts w:cs="Arial"/>
                <w:sz w:val="20"/>
                <w:szCs w:val="22"/>
              </w:rPr>
              <w:t xml:space="preserve"> que plusieurs règles, dont celles relatives aux </w:t>
            </w:r>
            <w:r w:rsidR="00622FA7" w:rsidRPr="00622FA7">
              <w:rPr>
                <w:rFonts w:cs="Arial"/>
                <w:sz w:val="20"/>
                <w:szCs w:val="22"/>
              </w:rPr>
              <w:t xml:space="preserve">frais de crédit </w:t>
            </w:r>
            <w:r w:rsidR="00622FA7">
              <w:rPr>
                <w:rFonts w:cs="Arial"/>
                <w:sz w:val="20"/>
                <w:szCs w:val="22"/>
              </w:rPr>
              <w:t>implicites et au</w:t>
            </w:r>
            <w:r w:rsidR="00622FA7" w:rsidRPr="00622FA7">
              <w:rPr>
                <w:rFonts w:cs="Arial"/>
                <w:sz w:val="20"/>
                <w:szCs w:val="22"/>
              </w:rPr>
              <w:t xml:space="preserve"> calcul du taux de cré</w:t>
            </w:r>
            <w:r w:rsidR="00622FA7">
              <w:rPr>
                <w:rFonts w:cs="Arial"/>
                <w:sz w:val="20"/>
                <w:szCs w:val="22"/>
              </w:rPr>
              <w:t>dit implicite, s’appliquent</w:t>
            </w:r>
            <w:r w:rsidR="009E167C">
              <w:rPr>
                <w:rFonts w:cs="Arial"/>
                <w:sz w:val="20"/>
                <w:szCs w:val="22"/>
              </w:rPr>
              <w:t xml:space="preserve"> </w:t>
            </w:r>
            <w:r w:rsidR="00622FA7">
              <w:rPr>
                <w:rFonts w:cs="Arial"/>
                <w:sz w:val="20"/>
                <w:szCs w:val="22"/>
              </w:rPr>
              <w:t xml:space="preserve">à </w:t>
            </w:r>
            <w:r w:rsidR="009E167C">
              <w:rPr>
                <w:rFonts w:cs="Arial"/>
                <w:sz w:val="20"/>
                <w:szCs w:val="22"/>
              </w:rPr>
              <w:t>tous les types de contrat de louage à long terme de biens</w:t>
            </w:r>
            <w:r w:rsidR="00622FA7">
              <w:rPr>
                <w:rFonts w:cs="Arial"/>
                <w:sz w:val="20"/>
                <w:szCs w:val="22"/>
              </w:rPr>
              <w:t xml:space="preserve">, </w:t>
            </w:r>
            <w:r w:rsidR="00CB0D0E">
              <w:rPr>
                <w:rFonts w:cs="Arial"/>
                <w:sz w:val="20"/>
                <w:szCs w:val="22"/>
              </w:rPr>
              <w:t>la LPC devrait</w:t>
            </w:r>
            <w:r w:rsidR="0009097D" w:rsidRPr="0009097D">
              <w:rPr>
                <w:rFonts w:cs="Arial"/>
                <w:sz w:val="20"/>
                <w:szCs w:val="22"/>
              </w:rPr>
              <w:t xml:space="preserve"> </w:t>
            </w:r>
            <w:r w:rsidR="00622FA7">
              <w:rPr>
                <w:rFonts w:cs="Arial"/>
                <w:sz w:val="20"/>
                <w:szCs w:val="22"/>
              </w:rPr>
              <w:t xml:space="preserve">prévoir qu’en cas d’omission par le commerçant de faire l’évaluation requise, il </w:t>
            </w:r>
            <w:r w:rsidR="00622FA7" w:rsidRPr="00622FA7">
              <w:rPr>
                <w:rFonts w:cs="Arial"/>
                <w:sz w:val="20"/>
                <w:szCs w:val="22"/>
              </w:rPr>
              <w:t>perd le droit aux frais de crédit</w:t>
            </w:r>
            <w:r w:rsidR="00622FA7">
              <w:rPr>
                <w:rFonts w:cs="Arial"/>
                <w:sz w:val="20"/>
                <w:szCs w:val="22"/>
              </w:rPr>
              <w:t xml:space="preserve"> implicites</w:t>
            </w:r>
            <w:r w:rsidR="00622FA7" w:rsidRPr="00622FA7">
              <w:rPr>
                <w:rFonts w:cs="Arial"/>
                <w:sz w:val="20"/>
                <w:szCs w:val="22"/>
              </w:rPr>
              <w:t xml:space="preserve"> et </w:t>
            </w:r>
            <w:r w:rsidR="00622FA7">
              <w:rPr>
                <w:rFonts w:cs="Arial"/>
                <w:sz w:val="20"/>
                <w:szCs w:val="22"/>
              </w:rPr>
              <w:t xml:space="preserve">il </w:t>
            </w:r>
            <w:r w:rsidR="00622FA7" w:rsidRPr="00622FA7">
              <w:rPr>
                <w:rFonts w:cs="Arial"/>
                <w:sz w:val="20"/>
                <w:szCs w:val="22"/>
              </w:rPr>
              <w:t xml:space="preserve">doit rembourser </w:t>
            </w:r>
            <w:r w:rsidR="00622FA7">
              <w:rPr>
                <w:rFonts w:cs="Arial"/>
                <w:sz w:val="20"/>
                <w:szCs w:val="22"/>
              </w:rPr>
              <w:t>ceux</w:t>
            </w:r>
            <w:r w:rsidR="00622FA7" w:rsidRPr="00622FA7">
              <w:rPr>
                <w:rFonts w:cs="Arial"/>
                <w:sz w:val="20"/>
                <w:szCs w:val="22"/>
              </w:rPr>
              <w:t xml:space="preserve"> que le consommateur a déjà payés.</w:t>
            </w:r>
          </w:p>
        </w:tc>
        <w:tc>
          <w:tcPr>
            <w:tcW w:w="6030" w:type="dxa"/>
          </w:tcPr>
          <w:p w:rsidR="003330D8" w:rsidRPr="00622FA7" w:rsidRDefault="00622FA7" w:rsidP="00245548">
            <w:pPr>
              <w:spacing w:before="120" w:after="120"/>
              <w:jc w:val="both"/>
              <w:rPr>
                <w:rFonts w:cs="Arial"/>
                <w:sz w:val="20"/>
                <w:szCs w:val="22"/>
              </w:rPr>
            </w:pPr>
            <w:r>
              <w:rPr>
                <w:rFonts w:cs="Arial"/>
                <w:sz w:val="20"/>
                <w:szCs w:val="22"/>
                <w:u w:val="single"/>
              </w:rPr>
              <w:t>Perte du droit aux frais de crédit implicites</w:t>
            </w:r>
            <w:r>
              <w:rPr>
                <w:rFonts w:cs="Arial"/>
                <w:sz w:val="20"/>
                <w:szCs w:val="22"/>
              </w:rPr>
              <w:t> : en cas d’omission du commerçant de faire l’évaluation</w:t>
            </w:r>
            <w:r w:rsidR="00245548">
              <w:rPr>
                <w:rFonts w:cs="Arial"/>
                <w:sz w:val="20"/>
                <w:szCs w:val="22"/>
              </w:rPr>
              <w:t xml:space="preserve"> de </w:t>
            </w:r>
            <w:r w:rsidR="00245548" w:rsidRPr="00245548">
              <w:rPr>
                <w:rFonts w:cs="Arial"/>
                <w:sz w:val="20"/>
                <w:szCs w:val="22"/>
              </w:rPr>
              <w:t>la capacité du consommateur d’exécuter les obligations découlant du contrat</w:t>
            </w:r>
            <w:r w:rsidR="00245548">
              <w:rPr>
                <w:rFonts w:cs="Arial"/>
                <w:sz w:val="20"/>
                <w:szCs w:val="22"/>
              </w:rPr>
              <w:t xml:space="preserve"> de location à long terme, perte du droit aux</w:t>
            </w:r>
            <w:r w:rsidR="00245548" w:rsidRPr="00245548">
              <w:rPr>
                <w:rFonts w:cs="Arial"/>
                <w:sz w:val="20"/>
                <w:szCs w:val="22"/>
              </w:rPr>
              <w:t xml:space="preserve"> frais de crédit implicites et </w:t>
            </w:r>
            <w:r w:rsidR="00245548">
              <w:rPr>
                <w:rFonts w:cs="Arial"/>
                <w:sz w:val="20"/>
                <w:szCs w:val="22"/>
              </w:rPr>
              <w:t xml:space="preserve">obligation de </w:t>
            </w:r>
            <w:r w:rsidR="00245548" w:rsidRPr="00245548">
              <w:rPr>
                <w:rFonts w:cs="Arial"/>
                <w:sz w:val="20"/>
                <w:szCs w:val="22"/>
              </w:rPr>
              <w:t>rembourser ceux que le consommateur a déjà payés.</w:t>
            </w:r>
          </w:p>
        </w:tc>
        <w:tc>
          <w:tcPr>
            <w:tcW w:w="5130" w:type="dxa"/>
          </w:tcPr>
          <w:p w:rsidR="003330D8" w:rsidRPr="004B7753" w:rsidRDefault="003330D8" w:rsidP="00BA0496">
            <w:pPr>
              <w:spacing w:before="120" w:after="120"/>
              <w:jc w:val="both"/>
              <w:rPr>
                <w:rFonts w:cs="Arial"/>
                <w:sz w:val="20"/>
                <w:szCs w:val="22"/>
              </w:rPr>
            </w:pPr>
          </w:p>
        </w:tc>
      </w:tr>
      <w:tr w:rsidR="009C5BCD" w:rsidRPr="00434009" w:rsidTr="003874AD">
        <w:tblPrEx>
          <w:jc w:val="left"/>
        </w:tblPrEx>
        <w:trPr>
          <w:gridAfter w:val="1"/>
          <w:wAfter w:w="10" w:type="dxa"/>
        </w:trPr>
        <w:tc>
          <w:tcPr>
            <w:tcW w:w="715" w:type="dxa"/>
            <w:vAlign w:val="center"/>
          </w:tcPr>
          <w:p w:rsidR="009C5BCD" w:rsidRPr="00E54326" w:rsidRDefault="00D1080A" w:rsidP="00BA0496">
            <w:pPr>
              <w:spacing w:before="120"/>
              <w:jc w:val="center"/>
              <w:rPr>
                <w:rFonts w:cs="Arial"/>
                <w:sz w:val="20"/>
                <w:szCs w:val="22"/>
              </w:rPr>
            </w:pPr>
            <w:r>
              <w:rPr>
                <w:rFonts w:cs="Arial"/>
                <w:sz w:val="20"/>
                <w:szCs w:val="22"/>
              </w:rPr>
              <w:lastRenderedPageBreak/>
              <w:t>1</w:t>
            </w:r>
            <w:r w:rsidR="006A07FB">
              <w:rPr>
                <w:rFonts w:cs="Arial"/>
                <w:sz w:val="20"/>
                <w:szCs w:val="22"/>
              </w:rPr>
              <w:t>0</w:t>
            </w:r>
          </w:p>
        </w:tc>
        <w:tc>
          <w:tcPr>
            <w:tcW w:w="1260" w:type="dxa"/>
            <w:vAlign w:val="center"/>
          </w:tcPr>
          <w:p w:rsidR="009C5BCD" w:rsidRPr="00E54326" w:rsidRDefault="009C5BCD" w:rsidP="00BA0496">
            <w:pPr>
              <w:spacing w:before="120"/>
              <w:jc w:val="center"/>
              <w:rPr>
                <w:rFonts w:cs="Arial"/>
                <w:sz w:val="20"/>
                <w:szCs w:val="22"/>
              </w:rPr>
            </w:pPr>
            <w:r w:rsidRPr="0035032E">
              <w:rPr>
                <w:rFonts w:cs="Arial"/>
                <w:sz w:val="20"/>
                <w:szCs w:val="22"/>
              </w:rPr>
              <w:t>150.5.1 LPC</w:t>
            </w:r>
          </w:p>
        </w:tc>
        <w:tc>
          <w:tcPr>
            <w:tcW w:w="6300" w:type="dxa"/>
          </w:tcPr>
          <w:p w:rsidR="009C5BCD" w:rsidRDefault="009C5BCD" w:rsidP="00BA0496">
            <w:pPr>
              <w:spacing w:before="120" w:after="120"/>
              <w:jc w:val="both"/>
              <w:rPr>
                <w:rFonts w:cs="Arial"/>
                <w:sz w:val="20"/>
                <w:szCs w:val="22"/>
              </w:rPr>
            </w:pPr>
            <w:r w:rsidRPr="00434009">
              <w:rPr>
                <w:rFonts w:cs="Arial"/>
                <w:sz w:val="20"/>
                <w:szCs w:val="22"/>
              </w:rPr>
              <w:t>La LPC actuelle octroie une faculté de dédit aux consommateurs qui ont conclu certains types de contrats de crédit. Elle octroie également une faculté de dédit au consommateur qui a conclu un contrat de location à valeur résiduelle garantie. Une telle faculté de dédit devrait s’appliquer aux contrats de location à long terme puisqu’à l’instar des contrats pour lesquels une telle faculté a été accordée par la loi, il importe que le consentement donné à ce type de contrats, susceptibles d’avoir des implications financières importantes, soit réfléchi.</w:t>
            </w:r>
          </w:p>
          <w:p w:rsidR="009C5BCD" w:rsidRPr="0067045D" w:rsidRDefault="009C5BCD" w:rsidP="00BA0496">
            <w:pPr>
              <w:spacing w:before="120" w:after="120"/>
              <w:jc w:val="both"/>
              <w:rPr>
                <w:rFonts w:cs="Arial"/>
                <w:sz w:val="20"/>
                <w:szCs w:val="22"/>
              </w:rPr>
            </w:pPr>
            <w:r w:rsidRPr="0067045D">
              <w:rPr>
                <w:rFonts w:cs="Arial"/>
                <w:sz w:val="20"/>
                <w:szCs w:val="22"/>
              </w:rPr>
              <w:t xml:space="preserve">Par ailleurs, </w:t>
            </w:r>
            <w:r>
              <w:rPr>
                <w:rFonts w:cs="Arial"/>
                <w:sz w:val="20"/>
                <w:szCs w:val="22"/>
              </w:rPr>
              <w:t xml:space="preserve">comme c’est déjà prévu dans le cas des contrats assortis d’un crédit et des contrats de location à valeur résiduelle garantie, il est raisonnable de ne pas permettre au consommateur de résoudre unilatéralement le contrat lorsqu’il a pris livraison d’un véhicule routier neuf. En effet, de tels véhicules se déprécient fortement lorsque le consommateur en prend livraison. </w:t>
            </w:r>
          </w:p>
        </w:tc>
        <w:tc>
          <w:tcPr>
            <w:tcW w:w="6030" w:type="dxa"/>
          </w:tcPr>
          <w:p w:rsidR="009C5BCD" w:rsidRPr="00434009" w:rsidRDefault="009C5BCD" w:rsidP="00BA0496">
            <w:pPr>
              <w:spacing w:before="120" w:after="120"/>
              <w:jc w:val="both"/>
              <w:rPr>
                <w:rFonts w:cs="Arial"/>
                <w:sz w:val="20"/>
                <w:szCs w:val="22"/>
              </w:rPr>
            </w:pPr>
            <w:r w:rsidRPr="00434009">
              <w:rPr>
                <w:rFonts w:cs="Arial"/>
                <w:sz w:val="20"/>
                <w:szCs w:val="22"/>
                <w:u w:val="single"/>
              </w:rPr>
              <w:t>Faculté de dédit</w:t>
            </w:r>
            <w:r w:rsidRPr="00434009">
              <w:rPr>
                <w:rFonts w:cs="Arial"/>
                <w:sz w:val="20"/>
                <w:szCs w:val="22"/>
              </w:rPr>
              <w:t> :</w:t>
            </w:r>
            <w:r w:rsidRPr="00434009">
              <w:rPr>
                <w:rFonts w:cs="Arial"/>
                <w:b/>
                <w:sz w:val="20"/>
                <w:szCs w:val="22"/>
              </w:rPr>
              <w:t xml:space="preserve"> </w:t>
            </w:r>
            <w:r w:rsidRPr="00AA5770">
              <w:rPr>
                <w:rFonts w:cs="Arial"/>
                <w:sz w:val="20"/>
                <w:szCs w:val="22"/>
              </w:rPr>
              <w:t>application du</w:t>
            </w:r>
            <w:r>
              <w:rPr>
                <w:rFonts w:cs="Arial"/>
                <w:b/>
                <w:sz w:val="20"/>
                <w:szCs w:val="22"/>
              </w:rPr>
              <w:t xml:space="preserve"> </w:t>
            </w:r>
            <w:r w:rsidRPr="00434009">
              <w:rPr>
                <w:rFonts w:cs="Arial"/>
                <w:sz w:val="20"/>
                <w:szCs w:val="22"/>
              </w:rPr>
              <w:t xml:space="preserve">droit de résolution </w:t>
            </w:r>
            <w:r>
              <w:rPr>
                <w:rFonts w:cs="Arial"/>
                <w:sz w:val="20"/>
                <w:szCs w:val="22"/>
              </w:rPr>
              <w:t>de</w:t>
            </w:r>
            <w:r w:rsidRPr="00434009">
              <w:rPr>
                <w:rFonts w:cs="Arial"/>
                <w:sz w:val="20"/>
                <w:szCs w:val="22"/>
              </w:rPr>
              <w:t xml:space="preserve"> </w:t>
            </w:r>
            <w:r>
              <w:rPr>
                <w:rFonts w:cs="Arial"/>
                <w:sz w:val="20"/>
                <w:szCs w:val="22"/>
              </w:rPr>
              <w:t>deux</w:t>
            </w:r>
            <w:r w:rsidRPr="00434009">
              <w:rPr>
                <w:rFonts w:cs="Arial"/>
                <w:sz w:val="20"/>
                <w:szCs w:val="22"/>
              </w:rPr>
              <w:t xml:space="preserve"> jours à tous les contrats de location à long terme. </w:t>
            </w:r>
            <w:r>
              <w:rPr>
                <w:rFonts w:cs="Arial"/>
                <w:sz w:val="20"/>
                <w:szCs w:val="22"/>
              </w:rPr>
              <w:t>Toutefois, dans le cas d’un véhicule routier neuf, le délai prend fin lorsque le consommateur prend livraison du véhicule.</w:t>
            </w:r>
          </w:p>
        </w:tc>
        <w:tc>
          <w:tcPr>
            <w:tcW w:w="5130" w:type="dxa"/>
          </w:tcPr>
          <w:p w:rsidR="009C5BCD" w:rsidRPr="004B7753" w:rsidRDefault="009C5BCD" w:rsidP="00BA0496">
            <w:pPr>
              <w:spacing w:before="120" w:after="120"/>
              <w:jc w:val="both"/>
              <w:rPr>
                <w:rFonts w:cs="Arial"/>
                <w:sz w:val="20"/>
                <w:szCs w:val="22"/>
              </w:rPr>
            </w:pPr>
          </w:p>
        </w:tc>
      </w:tr>
      <w:tr w:rsidR="009C5BCD" w:rsidRPr="00434009" w:rsidTr="003874AD">
        <w:tblPrEx>
          <w:jc w:val="left"/>
        </w:tblPrEx>
        <w:trPr>
          <w:gridAfter w:val="1"/>
          <w:wAfter w:w="10" w:type="dxa"/>
        </w:trPr>
        <w:tc>
          <w:tcPr>
            <w:tcW w:w="715" w:type="dxa"/>
            <w:vAlign w:val="center"/>
          </w:tcPr>
          <w:p w:rsidR="009C5BCD" w:rsidRPr="00E54326" w:rsidRDefault="00D1080A" w:rsidP="00BA0496">
            <w:pPr>
              <w:jc w:val="center"/>
              <w:rPr>
                <w:rFonts w:cs="Arial"/>
                <w:sz w:val="20"/>
                <w:szCs w:val="22"/>
              </w:rPr>
            </w:pPr>
            <w:r>
              <w:rPr>
                <w:rFonts w:cs="Arial"/>
                <w:sz w:val="20"/>
                <w:szCs w:val="22"/>
              </w:rPr>
              <w:t>1</w:t>
            </w:r>
            <w:r w:rsidR="006A07FB">
              <w:rPr>
                <w:rFonts w:cs="Arial"/>
                <w:sz w:val="20"/>
                <w:szCs w:val="22"/>
              </w:rPr>
              <w:t>1</w:t>
            </w:r>
          </w:p>
        </w:tc>
        <w:tc>
          <w:tcPr>
            <w:tcW w:w="1260" w:type="dxa"/>
            <w:vAlign w:val="center"/>
          </w:tcPr>
          <w:p w:rsidR="009C5BCD" w:rsidRPr="00E54326" w:rsidRDefault="009C5BCD" w:rsidP="00BA0496">
            <w:pPr>
              <w:jc w:val="center"/>
              <w:rPr>
                <w:rFonts w:cs="Arial"/>
                <w:sz w:val="20"/>
                <w:szCs w:val="22"/>
              </w:rPr>
            </w:pPr>
            <w:r w:rsidRPr="00E54326">
              <w:rPr>
                <w:rFonts w:cs="Arial"/>
                <w:sz w:val="20"/>
                <w:szCs w:val="22"/>
              </w:rPr>
              <w:t>150.9.2 LPC</w:t>
            </w:r>
          </w:p>
        </w:tc>
        <w:tc>
          <w:tcPr>
            <w:tcW w:w="6300" w:type="dxa"/>
          </w:tcPr>
          <w:p w:rsidR="009C5BCD" w:rsidRPr="00434009" w:rsidRDefault="009C5BCD" w:rsidP="00BA0496">
            <w:pPr>
              <w:spacing w:before="120" w:after="120"/>
              <w:jc w:val="both"/>
              <w:rPr>
                <w:rFonts w:cs="Arial"/>
                <w:sz w:val="20"/>
                <w:szCs w:val="22"/>
                <w:highlight w:val="yellow"/>
              </w:rPr>
            </w:pPr>
            <w:r w:rsidRPr="00434009">
              <w:rPr>
                <w:rFonts w:cs="Arial"/>
                <w:sz w:val="20"/>
                <w:szCs w:val="22"/>
              </w:rPr>
              <w:t xml:space="preserve">Le consommateur </w:t>
            </w:r>
            <w:r>
              <w:rPr>
                <w:rFonts w:cs="Arial"/>
                <w:sz w:val="20"/>
                <w:szCs w:val="22"/>
              </w:rPr>
              <w:t>devrait pouvoir</w:t>
            </w:r>
            <w:r w:rsidRPr="00434009">
              <w:rPr>
                <w:rFonts w:cs="Arial"/>
                <w:sz w:val="20"/>
                <w:szCs w:val="22"/>
              </w:rPr>
              <w:t xml:space="preserve"> obtenir rapidement et sans les formalités rigoureuses d’un nouveau contrat, une modification aux modalités de paiement (notamment pour omettre un paiement), lorsque nécessaire, tout en étant informé du coût qui y est relié.</w:t>
            </w:r>
          </w:p>
        </w:tc>
        <w:tc>
          <w:tcPr>
            <w:tcW w:w="6030" w:type="dxa"/>
          </w:tcPr>
          <w:p w:rsidR="009C5BCD" w:rsidRPr="00434009" w:rsidRDefault="009C5BCD" w:rsidP="00BA0496">
            <w:pPr>
              <w:spacing w:before="120" w:after="120"/>
              <w:jc w:val="both"/>
              <w:rPr>
                <w:rFonts w:cs="Arial"/>
                <w:sz w:val="20"/>
                <w:szCs w:val="22"/>
                <w:u w:val="single"/>
              </w:rPr>
            </w:pPr>
            <w:r w:rsidRPr="00434009">
              <w:rPr>
                <w:rFonts w:cs="Arial"/>
                <w:sz w:val="20"/>
                <w:szCs w:val="22"/>
                <w:u w:val="single"/>
              </w:rPr>
              <w:t>Modification du contrat </w:t>
            </w:r>
            <w:r w:rsidRPr="00434009">
              <w:rPr>
                <w:rFonts w:cs="Arial"/>
                <w:sz w:val="20"/>
                <w:szCs w:val="22"/>
              </w:rPr>
              <w:t>: possibilité de modifier le contrat d’un commun accord dans un avenant. Si augmentation des frais de crédit implicites ou du taux de crédit implicite, l’avenant doit être signé et contenir obligatoirement certains renseignements.</w:t>
            </w:r>
          </w:p>
        </w:tc>
        <w:tc>
          <w:tcPr>
            <w:tcW w:w="5130" w:type="dxa"/>
          </w:tcPr>
          <w:p w:rsidR="009C5BCD" w:rsidRPr="00DE444C" w:rsidRDefault="009C5BCD" w:rsidP="00BE03A3">
            <w:pPr>
              <w:spacing w:before="120" w:after="120"/>
              <w:jc w:val="both"/>
              <w:rPr>
                <w:rFonts w:cs="Arial"/>
                <w:sz w:val="20"/>
                <w:szCs w:val="22"/>
              </w:rPr>
            </w:pPr>
          </w:p>
        </w:tc>
      </w:tr>
      <w:tr w:rsidR="009C5BCD" w:rsidRPr="00434009" w:rsidTr="003874AD">
        <w:tblPrEx>
          <w:jc w:val="left"/>
        </w:tblPrEx>
        <w:trPr>
          <w:gridAfter w:val="1"/>
          <w:wAfter w:w="10" w:type="dxa"/>
        </w:trPr>
        <w:tc>
          <w:tcPr>
            <w:tcW w:w="715" w:type="dxa"/>
            <w:vAlign w:val="center"/>
          </w:tcPr>
          <w:p w:rsidR="009C5BCD" w:rsidRPr="00E54326" w:rsidRDefault="00D1080A" w:rsidP="00BA0496">
            <w:pPr>
              <w:spacing w:before="120"/>
              <w:jc w:val="center"/>
              <w:rPr>
                <w:rFonts w:cs="Arial"/>
                <w:sz w:val="20"/>
                <w:szCs w:val="22"/>
              </w:rPr>
            </w:pPr>
            <w:r>
              <w:rPr>
                <w:rFonts w:cs="Arial"/>
                <w:sz w:val="20"/>
                <w:szCs w:val="22"/>
              </w:rPr>
              <w:t>1</w:t>
            </w:r>
            <w:r w:rsidR="006A07FB">
              <w:rPr>
                <w:rFonts w:cs="Arial"/>
                <w:sz w:val="20"/>
                <w:szCs w:val="22"/>
              </w:rPr>
              <w:t>2</w:t>
            </w:r>
          </w:p>
        </w:tc>
        <w:tc>
          <w:tcPr>
            <w:tcW w:w="1260" w:type="dxa"/>
            <w:vAlign w:val="center"/>
          </w:tcPr>
          <w:p w:rsidR="009C5BCD" w:rsidRPr="00E54326" w:rsidRDefault="009C5BCD" w:rsidP="00BA0496">
            <w:pPr>
              <w:spacing w:before="120"/>
              <w:jc w:val="center"/>
              <w:rPr>
                <w:rFonts w:cs="Arial"/>
                <w:sz w:val="20"/>
                <w:szCs w:val="22"/>
              </w:rPr>
            </w:pPr>
            <w:r w:rsidRPr="00E54326">
              <w:rPr>
                <w:rFonts w:cs="Arial"/>
                <w:sz w:val="20"/>
                <w:szCs w:val="22"/>
              </w:rPr>
              <w:t>150.12 LPC</w:t>
            </w:r>
          </w:p>
        </w:tc>
        <w:tc>
          <w:tcPr>
            <w:tcW w:w="6300" w:type="dxa"/>
          </w:tcPr>
          <w:p w:rsidR="009C5BCD" w:rsidRPr="00434009" w:rsidRDefault="009C5BCD" w:rsidP="00BA0496">
            <w:pPr>
              <w:spacing w:before="120" w:after="120"/>
              <w:jc w:val="both"/>
              <w:rPr>
                <w:rFonts w:cs="Arial"/>
                <w:sz w:val="20"/>
                <w:szCs w:val="22"/>
                <w:u w:val="single"/>
              </w:rPr>
            </w:pPr>
            <w:r w:rsidRPr="00434009">
              <w:rPr>
                <w:rFonts w:cs="Arial"/>
                <w:bCs/>
                <w:sz w:val="20"/>
                <w:szCs w:val="22"/>
              </w:rPr>
              <w:t xml:space="preserve">Contrairement à ce que la loi prévoit pour les contrats de louage à valeur résiduelle garantie, le commerçant, partie à un contrat de location simple qui comporte une option d’achat, n’a pas l’obligation de faire parvenir un état de compte au consommateur qui en fait la demande. </w:t>
            </w:r>
          </w:p>
        </w:tc>
        <w:tc>
          <w:tcPr>
            <w:tcW w:w="6030" w:type="dxa"/>
          </w:tcPr>
          <w:p w:rsidR="009C5BCD" w:rsidRPr="00434009" w:rsidRDefault="009C5BCD" w:rsidP="00BA0496">
            <w:pPr>
              <w:spacing w:before="120" w:after="120"/>
              <w:jc w:val="both"/>
              <w:rPr>
                <w:rFonts w:cs="Arial"/>
                <w:sz w:val="20"/>
                <w:szCs w:val="22"/>
              </w:rPr>
            </w:pPr>
            <w:r w:rsidRPr="0035032E">
              <w:rPr>
                <w:rFonts w:cs="Arial"/>
                <w:sz w:val="20"/>
                <w:szCs w:val="22"/>
                <w:u w:val="single"/>
              </w:rPr>
              <w:t>État de compte</w:t>
            </w:r>
            <w:r w:rsidRPr="0035032E">
              <w:rPr>
                <w:rFonts w:cs="Arial"/>
                <w:sz w:val="20"/>
                <w:szCs w:val="22"/>
              </w:rPr>
              <w:t> : droit du consommateur à un état de compte sur demande.</w:t>
            </w:r>
          </w:p>
        </w:tc>
        <w:tc>
          <w:tcPr>
            <w:tcW w:w="5130" w:type="dxa"/>
          </w:tcPr>
          <w:p w:rsidR="009C5BCD" w:rsidRPr="00DE444C" w:rsidRDefault="009C5BCD" w:rsidP="00BA0496">
            <w:pPr>
              <w:spacing w:before="120" w:after="120"/>
              <w:jc w:val="both"/>
              <w:rPr>
                <w:rFonts w:cs="Arial"/>
                <w:sz w:val="20"/>
                <w:szCs w:val="22"/>
              </w:rPr>
            </w:pPr>
          </w:p>
        </w:tc>
      </w:tr>
      <w:tr w:rsidR="009C5BCD" w:rsidRPr="00CF62DB" w:rsidTr="003874AD">
        <w:tblPrEx>
          <w:jc w:val="left"/>
        </w:tblPrEx>
        <w:trPr>
          <w:gridAfter w:val="1"/>
          <w:wAfter w:w="10" w:type="dxa"/>
        </w:trPr>
        <w:tc>
          <w:tcPr>
            <w:tcW w:w="715" w:type="dxa"/>
            <w:vAlign w:val="center"/>
          </w:tcPr>
          <w:p w:rsidR="009C5BCD" w:rsidRPr="00E54326" w:rsidRDefault="00D1080A" w:rsidP="00BA0496">
            <w:pPr>
              <w:jc w:val="center"/>
              <w:rPr>
                <w:rFonts w:cs="Arial"/>
                <w:sz w:val="20"/>
                <w:szCs w:val="22"/>
              </w:rPr>
            </w:pPr>
            <w:r>
              <w:rPr>
                <w:rFonts w:cs="Arial"/>
                <w:sz w:val="20"/>
                <w:szCs w:val="22"/>
              </w:rPr>
              <w:t>1</w:t>
            </w:r>
            <w:r w:rsidR="006A07FB">
              <w:rPr>
                <w:rFonts w:cs="Arial"/>
                <w:sz w:val="20"/>
                <w:szCs w:val="22"/>
              </w:rPr>
              <w:t>3</w:t>
            </w:r>
          </w:p>
        </w:tc>
        <w:tc>
          <w:tcPr>
            <w:tcW w:w="1260" w:type="dxa"/>
            <w:vAlign w:val="center"/>
          </w:tcPr>
          <w:p w:rsidR="009C5BCD" w:rsidRPr="00E54326" w:rsidRDefault="009C5BCD" w:rsidP="00BA0496">
            <w:pPr>
              <w:jc w:val="center"/>
              <w:rPr>
                <w:rFonts w:cs="Arial"/>
                <w:sz w:val="20"/>
                <w:szCs w:val="22"/>
              </w:rPr>
            </w:pPr>
            <w:r w:rsidRPr="00E54326">
              <w:rPr>
                <w:rFonts w:cs="Arial"/>
                <w:sz w:val="20"/>
                <w:szCs w:val="22"/>
              </w:rPr>
              <w:t>150.9.3 LPC</w:t>
            </w:r>
          </w:p>
        </w:tc>
        <w:tc>
          <w:tcPr>
            <w:tcW w:w="6300" w:type="dxa"/>
          </w:tcPr>
          <w:p w:rsidR="009C5BCD" w:rsidRPr="00434009" w:rsidRDefault="009C5BCD" w:rsidP="00BA0496">
            <w:pPr>
              <w:spacing w:before="120" w:after="120"/>
              <w:jc w:val="both"/>
              <w:rPr>
                <w:rFonts w:cs="Arial"/>
                <w:sz w:val="20"/>
                <w:szCs w:val="22"/>
                <w:highlight w:val="yellow"/>
              </w:rPr>
            </w:pPr>
            <w:r w:rsidRPr="00434009">
              <w:rPr>
                <w:rFonts w:cs="Arial"/>
                <w:sz w:val="20"/>
                <w:szCs w:val="22"/>
              </w:rPr>
              <w:t>Le fait de devoir continuer les versements périodiques pendant qu’un recours en justice est pendant entre les parties constitue un frein à l’exercice des droits des consommateurs.</w:t>
            </w:r>
          </w:p>
        </w:tc>
        <w:tc>
          <w:tcPr>
            <w:tcW w:w="6030" w:type="dxa"/>
          </w:tcPr>
          <w:p w:rsidR="009C5BCD" w:rsidRPr="00434009" w:rsidRDefault="009C5BCD" w:rsidP="006A40D7">
            <w:pPr>
              <w:spacing w:before="120" w:after="120"/>
              <w:jc w:val="both"/>
              <w:rPr>
                <w:rFonts w:cs="Arial"/>
                <w:sz w:val="20"/>
                <w:szCs w:val="22"/>
              </w:rPr>
            </w:pPr>
            <w:r>
              <w:rPr>
                <w:rFonts w:cs="Arial"/>
                <w:sz w:val="20"/>
                <w:szCs w:val="22"/>
                <w:u w:val="single"/>
              </w:rPr>
              <w:t>Suspension des versements périodiques en cas de contestation judiciaire</w:t>
            </w:r>
            <w:r>
              <w:rPr>
                <w:rFonts w:cs="Arial"/>
                <w:sz w:val="20"/>
                <w:szCs w:val="22"/>
              </w:rPr>
              <w:t> : d</w:t>
            </w:r>
            <w:r w:rsidRPr="00434009">
              <w:rPr>
                <w:rFonts w:cs="Arial"/>
                <w:sz w:val="20"/>
                <w:szCs w:val="22"/>
              </w:rPr>
              <w:t>roit du consommateur de demander au tribunal la suspension des versements périodiques en cas de contestation judiciaire.</w:t>
            </w:r>
          </w:p>
        </w:tc>
        <w:tc>
          <w:tcPr>
            <w:tcW w:w="5130" w:type="dxa"/>
          </w:tcPr>
          <w:p w:rsidR="009C5BCD" w:rsidRPr="00BC4622" w:rsidRDefault="009C5BCD" w:rsidP="00BA0496">
            <w:pPr>
              <w:spacing w:before="120" w:after="120"/>
              <w:jc w:val="both"/>
              <w:rPr>
                <w:rFonts w:cs="Arial"/>
                <w:sz w:val="20"/>
                <w:szCs w:val="22"/>
              </w:rPr>
            </w:pPr>
          </w:p>
        </w:tc>
      </w:tr>
      <w:tr w:rsidR="009C5BCD" w:rsidRPr="00434009" w:rsidTr="00DE444C">
        <w:trPr>
          <w:gridAfter w:val="1"/>
          <w:wAfter w:w="10" w:type="dxa"/>
          <w:trHeight w:val="629"/>
          <w:jc w:val="center"/>
        </w:trPr>
        <w:tc>
          <w:tcPr>
            <w:tcW w:w="715" w:type="dxa"/>
            <w:vAlign w:val="center"/>
          </w:tcPr>
          <w:p w:rsidR="009C5BCD" w:rsidRPr="00E54326" w:rsidRDefault="00D1080A" w:rsidP="00BA0496">
            <w:pPr>
              <w:jc w:val="center"/>
              <w:rPr>
                <w:rFonts w:cs="Arial"/>
                <w:sz w:val="20"/>
                <w:szCs w:val="22"/>
              </w:rPr>
            </w:pPr>
            <w:r>
              <w:rPr>
                <w:rFonts w:cs="Arial"/>
                <w:sz w:val="20"/>
                <w:szCs w:val="22"/>
              </w:rPr>
              <w:lastRenderedPageBreak/>
              <w:t>1</w:t>
            </w:r>
            <w:r w:rsidR="006A07FB">
              <w:rPr>
                <w:rFonts w:cs="Arial"/>
                <w:sz w:val="20"/>
                <w:szCs w:val="22"/>
              </w:rPr>
              <w:t>4</w:t>
            </w:r>
          </w:p>
        </w:tc>
        <w:tc>
          <w:tcPr>
            <w:tcW w:w="1260" w:type="dxa"/>
            <w:vAlign w:val="center"/>
          </w:tcPr>
          <w:p w:rsidR="009C5BCD" w:rsidRPr="00E54326" w:rsidRDefault="009C5BCD" w:rsidP="00BA0496">
            <w:pPr>
              <w:jc w:val="center"/>
              <w:rPr>
                <w:rFonts w:cs="Arial"/>
                <w:sz w:val="20"/>
                <w:szCs w:val="22"/>
              </w:rPr>
            </w:pPr>
            <w:r w:rsidRPr="00E54326">
              <w:rPr>
                <w:rFonts w:cs="Arial"/>
                <w:sz w:val="20"/>
                <w:szCs w:val="22"/>
              </w:rPr>
              <w:t>150.15 LPC</w:t>
            </w:r>
          </w:p>
        </w:tc>
        <w:tc>
          <w:tcPr>
            <w:tcW w:w="6300" w:type="dxa"/>
          </w:tcPr>
          <w:p w:rsidR="009C5BCD" w:rsidRDefault="009C5BCD" w:rsidP="00BA0496">
            <w:pPr>
              <w:spacing w:before="120" w:after="120"/>
              <w:jc w:val="both"/>
              <w:rPr>
                <w:rFonts w:cs="Arial"/>
                <w:sz w:val="20"/>
                <w:szCs w:val="22"/>
              </w:rPr>
            </w:pPr>
            <w:r w:rsidRPr="00434009">
              <w:rPr>
                <w:rFonts w:cs="Arial"/>
                <w:sz w:val="20"/>
                <w:szCs w:val="22"/>
              </w:rPr>
              <w:t>En cas de résiliation anticipée du bail, la loi prévoit que le commerçant peut réclamer du consommateur des dommages-intérêts qui sont une suite directe et immédiate de la résiliation du contrat. Certains commerçants exercent toutefois de manière abusive leur droit de réclamer de tels dommages.</w:t>
            </w:r>
          </w:p>
          <w:p w:rsidR="009C5BCD" w:rsidRPr="00434009" w:rsidRDefault="009C5BCD" w:rsidP="00BA0496">
            <w:pPr>
              <w:spacing w:before="120" w:after="120"/>
              <w:jc w:val="both"/>
              <w:rPr>
                <w:rFonts w:cs="Arial"/>
                <w:sz w:val="20"/>
                <w:szCs w:val="22"/>
              </w:rPr>
            </w:pPr>
          </w:p>
        </w:tc>
        <w:tc>
          <w:tcPr>
            <w:tcW w:w="6030" w:type="dxa"/>
          </w:tcPr>
          <w:p w:rsidR="009C5BCD" w:rsidRPr="00434009" w:rsidRDefault="009C5BCD" w:rsidP="00BA0496">
            <w:pPr>
              <w:spacing w:before="120" w:after="120"/>
              <w:jc w:val="both"/>
              <w:rPr>
                <w:rFonts w:cs="Arial"/>
                <w:b/>
                <w:sz w:val="20"/>
                <w:szCs w:val="22"/>
              </w:rPr>
            </w:pPr>
            <w:r w:rsidRPr="00434009">
              <w:rPr>
                <w:rFonts w:cs="Arial"/>
                <w:sz w:val="20"/>
                <w:szCs w:val="22"/>
                <w:u w:val="single"/>
              </w:rPr>
              <w:t>Pratiques abusives</w:t>
            </w:r>
            <w:r w:rsidRPr="00434009">
              <w:rPr>
                <w:rFonts w:cs="Arial"/>
                <w:sz w:val="20"/>
                <w:szCs w:val="22"/>
              </w:rPr>
              <w:t> :</w:t>
            </w:r>
            <w:r w:rsidRPr="00434009">
              <w:rPr>
                <w:rFonts w:cs="Arial"/>
                <w:b/>
                <w:sz w:val="20"/>
                <w:szCs w:val="22"/>
              </w:rPr>
              <w:t xml:space="preserve"> </w:t>
            </w:r>
          </w:p>
          <w:p w:rsidR="009C5BCD" w:rsidRPr="00434009" w:rsidRDefault="009C5BCD" w:rsidP="00BA0496">
            <w:pPr>
              <w:numPr>
                <w:ilvl w:val="0"/>
                <w:numId w:val="2"/>
              </w:numPr>
              <w:spacing w:before="120" w:after="120"/>
              <w:jc w:val="both"/>
              <w:rPr>
                <w:rFonts w:cs="Arial"/>
                <w:color w:val="000000"/>
                <w:sz w:val="20"/>
                <w:szCs w:val="22"/>
                <w:lang w:eastAsia="fr-FR"/>
              </w:rPr>
            </w:pPr>
            <w:r w:rsidRPr="00F8122A">
              <w:rPr>
                <w:rFonts w:cs="Arial"/>
                <w:sz w:val="20"/>
                <w:szCs w:val="22"/>
                <w:u w:val="single"/>
              </w:rPr>
              <w:t>Limite – dommages-intérêts exigibles en cas de résiliation</w:t>
            </w:r>
            <w:r>
              <w:rPr>
                <w:rFonts w:cs="Arial"/>
                <w:sz w:val="20"/>
                <w:szCs w:val="22"/>
              </w:rPr>
              <w:t> : p</w:t>
            </w:r>
            <w:r w:rsidRPr="00434009">
              <w:rPr>
                <w:rFonts w:cs="Arial"/>
                <w:sz w:val="20"/>
                <w:szCs w:val="22"/>
              </w:rPr>
              <w:t xml:space="preserve">ouvoir règlementaire de limiter les dommages-intérêts pouvant être réclamés par le locateur en cas de résiliation. </w:t>
            </w:r>
          </w:p>
        </w:tc>
        <w:tc>
          <w:tcPr>
            <w:tcW w:w="5130" w:type="dxa"/>
          </w:tcPr>
          <w:p w:rsidR="009C5BCD" w:rsidRPr="00DE444C" w:rsidRDefault="009C5BCD" w:rsidP="00BA0496">
            <w:pPr>
              <w:spacing w:before="120" w:after="120"/>
              <w:jc w:val="both"/>
              <w:rPr>
                <w:rFonts w:cs="Arial"/>
                <w:sz w:val="20"/>
                <w:szCs w:val="22"/>
              </w:rPr>
            </w:pPr>
          </w:p>
        </w:tc>
      </w:tr>
      <w:tr w:rsidR="009C5BCD" w:rsidRPr="00434009" w:rsidTr="003874AD">
        <w:tblPrEx>
          <w:jc w:val="left"/>
        </w:tblPrEx>
        <w:trPr>
          <w:gridAfter w:val="1"/>
          <w:wAfter w:w="10" w:type="dxa"/>
          <w:trHeight w:val="871"/>
        </w:trPr>
        <w:tc>
          <w:tcPr>
            <w:tcW w:w="715" w:type="dxa"/>
            <w:vAlign w:val="center"/>
          </w:tcPr>
          <w:p w:rsidR="009C5BCD" w:rsidRPr="00E54326" w:rsidRDefault="00D1080A" w:rsidP="00BA0496">
            <w:pPr>
              <w:spacing w:before="120"/>
              <w:jc w:val="center"/>
              <w:rPr>
                <w:rFonts w:cs="Arial"/>
                <w:sz w:val="20"/>
                <w:szCs w:val="22"/>
              </w:rPr>
            </w:pPr>
            <w:r>
              <w:rPr>
                <w:rFonts w:cs="Arial"/>
                <w:sz w:val="20"/>
                <w:szCs w:val="22"/>
              </w:rPr>
              <w:t>1</w:t>
            </w:r>
            <w:r w:rsidR="006A07FB">
              <w:rPr>
                <w:rFonts w:cs="Arial"/>
                <w:sz w:val="20"/>
                <w:szCs w:val="22"/>
              </w:rPr>
              <w:t>5</w:t>
            </w:r>
          </w:p>
        </w:tc>
        <w:tc>
          <w:tcPr>
            <w:tcW w:w="1260" w:type="dxa"/>
            <w:vAlign w:val="center"/>
          </w:tcPr>
          <w:p w:rsidR="009C5BCD" w:rsidRPr="00E54326" w:rsidRDefault="009C5BCD" w:rsidP="00BA0496">
            <w:pPr>
              <w:spacing w:before="120"/>
              <w:jc w:val="center"/>
              <w:rPr>
                <w:rFonts w:cs="Arial"/>
                <w:sz w:val="20"/>
                <w:szCs w:val="22"/>
              </w:rPr>
            </w:pPr>
            <w:r w:rsidRPr="00E54326">
              <w:rPr>
                <w:rFonts w:cs="Arial"/>
                <w:sz w:val="20"/>
                <w:szCs w:val="22"/>
              </w:rPr>
              <w:t>150.21 LPC</w:t>
            </w:r>
          </w:p>
        </w:tc>
        <w:tc>
          <w:tcPr>
            <w:tcW w:w="6300" w:type="dxa"/>
          </w:tcPr>
          <w:p w:rsidR="009C5BCD" w:rsidRPr="00434009" w:rsidRDefault="009C5BCD" w:rsidP="00BA0496">
            <w:pPr>
              <w:spacing w:before="120" w:after="120"/>
              <w:jc w:val="both"/>
              <w:rPr>
                <w:rFonts w:cs="Arial"/>
                <w:sz w:val="20"/>
                <w:szCs w:val="22"/>
                <w:u w:val="single"/>
              </w:rPr>
            </w:pPr>
            <w:r w:rsidRPr="00434009">
              <w:rPr>
                <w:rFonts w:cs="Arial"/>
                <w:sz w:val="20"/>
                <w:szCs w:val="22"/>
              </w:rPr>
              <w:t>Dans le cadre d’un contrat de louage à valeur résiduelle garantie, la responsabilité du consommateur pour la valeur résiduelle du bien loué peut être excessive.</w:t>
            </w:r>
          </w:p>
        </w:tc>
        <w:tc>
          <w:tcPr>
            <w:tcW w:w="6030" w:type="dxa"/>
          </w:tcPr>
          <w:p w:rsidR="009C5BCD" w:rsidRPr="00434009" w:rsidRDefault="009C5BCD" w:rsidP="00BA0496">
            <w:pPr>
              <w:numPr>
                <w:ilvl w:val="0"/>
                <w:numId w:val="2"/>
              </w:numPr>
              <w:spacing w:before="120" w:after="120"/>
              <w:jc w:val="both"/>
              <w:rPr>
                <w:rFonts w:cs="Arial"/>
                <w:color w:val="000000"/>
                <w:sz w:val="20"/>
                <w:szCs w:val="22"/>
                <w:lang w:eastAsia="fr-FR"/>
              </w:rPr>
            </w:pPr>
            <w:r w:rsidRPr="00503F7C">
              <w:rPr>
                <w:rFonts w:cs="Arial"/>
                <w:color w:val="000000"/>
                <w:sz w:val="20"/>
                <w:szCs w:val="22"/>
                <w:u w:val="single"/>
                <w:lang w:eastAsia="fr-FR"/>
              </w:rPr>
              <w:t>Limite – valeur résiduelle garantie</w:t>
            </w:r>
            <w:r>
              <w:rPr>
                <w:rFonts w:cs="Arial"/>
                <w:color w:val="000000"/>
                <w:sz w:val="20"/>
                <w:szCs w:val="22"/>
                <w:lang w:eastAsia="fr-FR"/>
              </w:rPr>
              <w:t> : l</w:t>
            </w:r>
            <w:r w:rsidRPr="00434009">
              <w:rPr>
                <w:rFonts w:cs="Arial"/>
                <w:color w:val="000000"/>
                <w:sz w:val="20"/>
                <w:szCs w:val="22"/>
                <w:lang w:eastAsia="fr-FR"/>
              </w:rPr>
              <w:t xml:space="preserve">imitation de la responsabilité </w:t>
            </w:r>
            <w:r w:rsidRPr="00434009">
              <w:rPr>
                <w:rFonts w:cs="Arial"/>
                <w:sz w:val="20"/>
                <w:szCs w:val="22"/>
              </w:rPr>
              <w:t xml:space="preserve">du consommateur pour la valeur résiduelle du bien loué à trois fois la valeur moyenne des </w:t>
            </w:r>
            <w:r>
              <w:rPr>
                <w:rFonts w:cs="Arial"/>
                <w:sz w:val="20"/>
                <w:szCs w:val="22"/>
              </w:rPr>
              <w:t>versements</w:t>
            </w:r>
            <w:r w:rsidRPr="00434009">
              <w:rPr>
                <w:rFonts w:cs="Arial"/>
                <w:sz w:val="20"/>
                <w:szCs w:val="22"/>
              </w:rPr>
              <w:t xml:space="preserve"> mensuels.</w:t>
            </w:r>
          </w:p>
        </w:tc>
        <w:tc>
          <w:tcPr>
            <w:tcW w:w="5130" w:type="dxa"/>
          </w:tcPr>
          <w:p w:rsidR="009C5BCD" w:rsidRPr="00FC50D9" w:rsidRDefault="009C5BCD" w:rsidP="00BA0496">
            <w:pPr>
              <w:spacing w:before="120" w:after="120"/>
              <w:jc w:val="both"/>
              <w:rPr>
                <w:rFonts w:cs="Arial"/>
                <w:color w:val="000000"/>
                <w:sz w:val="20"/>
                <w:szCs w:val="22"/>
                <w:lang w:eastAsia="fr-FR"/>
              </w:rPr>
            </w:pPr>
          </w:p>
        </w:tc>
      </w:tr>
      <w:tr w:rsidR="009C5BCD" w:rsidRPr="00434009" w:rsidTr="003874AD">
        <w:tblPrEx>
          <w:jc w:val="left"/>
        </w:tblPrEx>
        <w:trPr>
          <w:gridAfter w:val="1"/>
          <w:wAfter w:w="10" w:type="dxa"/>
          <w:trHeight w:val="1250"/>
        </w:trPr>
        <w:tc>
          <w:tcPr>
            <w:tcW w:w="715" w:type="dxa"/>
            <w:vAlign w:val="center"/>
          </w:tcPr>
          <w:p w:rsidR="009C5BCD" w:rsidRPr="00E54326" w:rsidRDefault="00D1080A" w:rsidP="00BA0496">
            <w:pPr>
              <w:jc w:val="center"/>
              <w:rPr>
                <w:rFonts w:cs="Arial"/>
                <w:sz w:val="20"/>
                <w:szCs w:val="22"/>
              </w:rPr>
            </w:pPr>
            <w:r>
              <w:rPr>
                <w:rFonts w:cs="Arial"/>
                <w:sz w:val="20"/>
                <w:szCs w:val="22"/>
              </w:rPr>
              <w:t>1</w:t>
            </w:r>
            <w:r w:rsidR="006A07FB">
              <w:rPr>
                <w:rFonts w:cs="Arial"/>
                <w:sz w:val="20"/>
                <w:szCs w:val="22"/>
              </w:rPr>
              <w:t>6</w:t>
            </w:r>
          </w:p>
        </w:tc>
        <w:tc>
          <w:tcPr>
            <w:tcW w:w="1260" w:type="dxa"/>
            <w:vAlign w:val="center"/>
          </w:tcPr>
          <w:p w:rsidR="009C5BCD" w:rsidRPr="00E54326" w:rsidRDefault="009C5BCD" w:rsidP="00BA0496">
            <w:pPr>
              <w:jc w:val="center"/>
              <w:rPr>
                <w:rFonts w:cs="Arial"/>
                <w:sz w:val="20"/>
                <w:szCs w:val="22"/>
              </w:rPr>
            </w:pPr>
            <w:r w:rsidRPr="00E54326">
              <w:rPr>
                <w:rFonts w:cs="Arial"/>
                <w:sz w:val="20"/>
                <w:szCs w:val="22"/>
              </w:rPr>
              <w:t>150.6 LPC</w:t>
            </w:r>
          </w:p>
          <w:p w:rsidR="009C5BCD" w:rsidRPr="00E54326" w:rsidRDefault="009C5BCD" w:rsidP="00BA0496">
            <w:pPr>
              <w:jc w:val="center"/>
              <w:rPr>
                <w:rFonts w:cs="Arial"/>
                <w:sz w:val="20"/>
                <w:szCs w:val="22"/>
              </w:rPr>
            </w:pPr>
          </w:p>
        </w:tc>
        <w:tc>
          <w:tcPr>
            <w:tcW w:w="6300" w:type="dxa"/>
          </w:tcPr>
          <w:p w:rsidR="009C5BCD" w:rsidRPr="00434009" w:rsidRDefault="009C5BCD" w:rsidP="00BA0496">
            <w:pPr>
              <w:spacing w:before="120" w:after="120"/>
              <w:jc w:val="both"/>
              <w:rPr>
                <w:rFonts w:cs="Arial"/>
                <w:sz w:val="20"/>
                <w:szCs w:val="22"/>
              </w:rPr>
            </w:pPr>
            <w:r w:rsidRPr="00434009">
              <w:rPr>
                <w:rFonts w:cs="Arial"/>
                <w:sz w:val="20"/>
                <w:szCs w:val="22"/>
              </w:rPr>
              <w:t>De façon générale, l’exigence, en cours de bail, de frais pour une utilisation excessive peut être déraisonnable :</w:t>
            </w:r>
          </w:p>
          <w:p w:rsidR="009C5BCD" w:rsidRPr="00434009" w:rsidRDefault="009C5BCD" w:rsidP="00BA0496">
            <w:pPr>
              <w:widowControl w:val="0"/>
              <w:numPr>
                <w:ilvl w:val="0"/>
                <w:numId w:val="8"/>
              </w:numPr>
              <w:autoSpaceDE w:val="0"/>
              <w:autoSpaceDN w:val="0"/>
              <w:adjustRightInd w:val="0"/>
              <w:spacing w:before="120" w:after="120"/>
              <w:jc w:val="both"/>
              <w:rPr>
                <w:rFonts w:cs="Arial"/>
                <w:sz w:val="20"/>
                <w:szCs w:val="22"/>
              </w:rPr>
            </w:pPr>
            <w:r>
              <w:rPr>
                <w:rFonts w:cs="Arial"/>
                <w:sz w:val="20"/>
                <w:szCs w:val="22"/>
              </w:rPr>
              <w:t>l</w:t>
            </w:r>
            <w:r w:rsidRPr="00434009">
              <w:rPr>
                <w:rFonts w:cs="Arial"/>
                <w:sz w:val="20"/>
                <w:szCs w:val="22"/>
              </w:rPr>
              <w:t xml:space="preserve">e calcul de l’utilisation au </w:t>
            </w:r>
            <w:r w:rsidRPr="00434009">
              <w:rPr>
                <w:rFonts w:cs="Arial"/>
                <w:i/>
                <w:sz w:val="20"/>
                <w:szCs w:val="22"/>
              </w:rPr>
              <w:t>prorata</w:t>
            </w:r>
            <w:r w:rsidRPr="00434009">
              <w:rPr>
                <w:rFonts w:cs="Arial"/>
                <w:sz w:val="20"/>
                <w:szCs w:val="22"/>
              </w:rPr>
              <w:t xml:space="preserve"> du bail ne tient pas compte du fait que le consommateur puisse réduire son utilisation en fin de bail;</w:t>
            </w:r>
          </w:p>
          <w:p w:rsidR="009C5BCD" w:rsidRPr="00434009" w:rsidRDefault="009C5BCD" w:rsidP="00BA0496">
            <w:pPr>
              <w:widowControl w:val="0"/>
              <w:numPr>
                <w:ilvl w:val="0"/>
                <w:numId w:val="8"/>
              </w:numPr>
              <w:autoSpaceDE w:val="0"/>
              <w:autoSpaceDN w:val="0"/>
              <w:adjustRightInd w:val="0"/>
              <w:spacing w:before="120" w:after="120"/>
              <w:jc w:val="both"/>
              <w:rPr>
                <w:rFonts w:cs="Arial"/>
                <w:sz w:val="20"/>
                <w:szCs w:val="22"/>
              </w:rPr>
            </w:pPr>
            <w:r>
              <w:rPr>
                <w:rFonts w:cs="Arial"/>
                <w:sz w:val="20"/>
                <w:szCs w:val="22"/>
              </w:rPr>
              <w:t>e</w:t>
            </w:r>
            <w:r w:rsidRPr="00434009">
              <w:rPr>
                <w:rFonts w:cs="Arial"/>
                <w:sz w:val="20"/>
                <w:szCs w:val="22"/>
              </w:rPr>
              <w:t>n cas de reprise de possession ou de remise volontaire, les dommages que le commerçant peut exiger augmentent bien souvent avec, et donc couvrent, une utilisation excédentaire; il existe donc une double indemnisation pour l’utilisation dans de tels cas.</w:t>
            </w:r>
          </w:p>
        </w:tc>
        <w:tc>
          <w:tcPr>
            <w:tcW w:w="6030" w:type="dxa"/>
          </w:tcPr>
          <w:p w:rsidR="009C5BCD" w:rsidRPr="00503F7C" w:rsidRDefault="009C5BCD" w:rsidP="00BA0496">
            <w:pPr>
              <w:numPr>
                <w:ilvl w:val="0"/>
                <w:numId w:val="2"/>
              </w:numPr>
              <w:spacing w:before="120" w:after="120"/>
              <w:jc w:val="both"/>
              <w:rPr>
                <w:rFonts w:cs="Arial"/>
                <w:sz w:val="20"/>
                <w:szCs w:val="22"/>
                <w:u w:val="single"/>
              </w:rPr>
            </w:pPr>
            <w:r w:rsidRPr="00503F7C">
              <w:rPr>
                <w:rFonts w:cs="Arial"/>
                <w:color w:val="000000"/>
                <w:sz w:val="20"/>
                <w:szCs w:val="22"/>
                <w:u w:val="single"/>
                <w:lang w:eastAsia="fr-FR"/>
              </w:rPr>
              <w:t>Frais d’utilisation excédentaire</w:t>
            </w:r>
            <w:r>
              <w:rPr>
                <w:rFonts w:cs="Arial"/>
                <w:color w:val="000000"/>
                <w:sz w:val="20"/>
                <w:szCs w:val="22"/>
                <w:lang w:eastAsia="fr-FR"/>
              </w:rPr>
              <w:t> : i</w:t>
            </w:r>
            <w:r w:rsidRPr="00434009">
              <w:rPr>
                <w:rFonts w:cs="Arial"/>
                <w:color w:val="000000"/>
                <w:sz w:val="20"/>
                <w:szCs w:val="22"/>
                <w:lang w:eastAsia="fr-FR"/>
              </w:rPr>
              <w:t xml:space="preserve">nterdiction d’exiger des frais </w:t>
            </w:r>
            <w:r w:rsidRPr="00434009">
              <w:rPr>
                <w:rFonts w:cs="Arial"/>
                <w:sz w:val="20"/>
                <w:szCs w:val="22"/>
              </w:rPr>
              <w:t>relatifs au degré d’utilisation du bien avant l</w:t>
            </w:r>
            <w:r>
              <w:rPr>
                <w:rFonts w:cs="Arial"/>
                <w:sz w:val="20"/>
                <w:szCs w:val="22"/>
              </w:rPr>
              <w:t>a fin de la période de location. Toutefois :</w:t>
            </w:r>
          </w:p>
          <w:p w:rsidR="009C5BCD" w:rsidRPr="00EE1F34" w:rsidRDefault="009C5BCD" w:rsidP="00BA0496">
            <w:pPr>
              <w:pStyle w:val="Paragraphedeliste"/>
              <w:numPr>
                <w:ilvl w:val="0"/>
                <w:numId w:val="363"/>
              </w:numPr>
              <w:spacing w:before="120" w:after="120"/>
              <w:rPr>
                <w:rFonts w:cs="Arial"/>
                <w:sz w:val="20"/>
                <w:szCs w:val="22"/>
                <w:u w:val="single"/>
              </w:rPr>
            </w:pPr>
            <w:r>
              <w:rPr>
                <w:rFonts w:cs="Arial"/>
                <w:sz w:val="20"/>
                <w:szCs w:val="22"/>
              </w:rPr>
              <w:t xml:space="preserve">Possibilité d’exiger de tels frais, </w:t>
            </w:r>
            <w:r w:rsidRPr="00503F7C">
              <w:rPr>
                <w:rFonts w:cs="Arial"/>
                <w:sz w:val="20"/>
                <w:szCs w:val="22"/>
              </w:rPr>
              <w:t xml:space="preserve">au </w:t>
            </w:r>
            <w:r w:rsidRPr="00371782">
              <w:rPr>
                <w:rFonts w:cs="Arial"/>
                <w:i/>
                <w:sz w:val="20"/>
                <w:szCs w:val="22"/>
              </w:rPr>
              <w:t>prorata</w:t>
            </w:r>
            <w:r w:rsidRPr="00503F7C">
              <w:rPr>
                <w:rFonts w:cs="Arial"/>
                <w:sz w:val="20"/>
                <w:szCs w:val="22"/>
              </w:rPr>
              <w:t xml:space="preserve"> de la durée </w:t>
            </w:r>
            <w:r>
              <w:rPr>
                <w:rFonts w:cs="Arial"/>
                <w:sz w:val="20"/>
                <w:szCs w:val="22"/>
              </w:rPr>
              <w:t xml:space="preserve">écoulée </w:t>
            </w:r>
            <w:r w:rsidRPr="00503F7C">
              <w:rPr>
                <w:rFonts w:cs="Arial"/>
                <w:sz w:val="20"/>
                <w:szCs w:val="22"/>
              </w:rPr>
              <w:t>du contrat, à la suite d’une remise volontaire ou d’une reprise de possession, si le prix d’une vente effectuée dans le but de minimiser les pertes du commerçant est inférieur à la valeur résiduelle prévue au contrat de location</w:t>
            </w:r>
            <w:r>
              <w:rPr>
                <w:rFonts w:cs="Arial"/>
                <w:sz w:val="20"/>
                <w:szCs w:val="22"/>
              </w:rPr>
              <w:t>.</w:t>
            </w:r>
          </w:p>
          <w:p w:rsidR="009C5BCD" w:rsidRPr="00503F7C" w:rsidRDefault="009C5BCD" w:rsidP="00BA0496">
            <w:pPr>
              <w:pStyle w:val="Paragraphedeliste"/>
              <w:numPr>
                <w:ilvl w:val="0"/>
                <w:numId w:val="363"/>
              </w:numPr>
              <w:spacing w:before="120" w:after="120"/>
              <w:rPr>
                <w:rFonts w:cs="Arial"/>
                <w:sz w:val="20"/>
                <w:szCs w:val="22"/>
                <w:u w:val="single"/>
              </w:rPr>
            </w:pPr>
            <w:r>
              <w:rPr>
                <w:rFonts w:cs="Arial"/>
                <w:sz w:val="20"/>
                <w:szCs w:val="22"/>
              </w:rPr>
              <w:t xml:space="preserve">Possibilité d’exiger de tels frais, au </w:t>
            </w:r>
            <w:r w:rsidRPr="00EE1F34">
              <w:rPr>
                <w:rFonts w:cs="Arial"/>
                <w:i/>
                <w:sz w:val="20"/>
                <w:szCs w:val="22"/>
              </w:rPr>
              <w:t>prorata</w:t>
            </w:r>
            <w:r>
              <w:rPr>
                <w:rFonts w:cs="Arial"/>
                <w:sz w:val="20"/>
                <w:szCs w:val="22"/>
              </w:rPr>
              <w:t xml:space="preserve"> de la durée écoulée du contrat, </w:t>
            </w:r>
            <w:r w:rsidRPr="00503F7C">
              <w:rPr>
                <w:rFonts w:cs="Arial"/>
                <w:sz w:val="20"/>
                <w:szCs w:val="22"/>
              </w:rPr>
              <w:t>à la suite d’un sinistre entraînant la perte ou la destruction du bien, sauf s’il s’agit d’un cas de force majeure</w:t>
            </w:r>
            <w:r>
              <w:rPr>
                <w:rFonts w:cs="Arial"/>
                <w:sz w:val="20"/>
                <w:szCs w:val="22"/>
              </w:rPr>
              <w:t>, auquel cas, de tels</w:t>
            </w:r>
            <w:r w:rsidRPr="00503F7C">
              <w:rPr>
                <w:rFonts w:cs="Arial"/>
                <w:sz w:val="20"/>
                <w:szCs w:val="22"/>
              </w:rPr>
              <w:t xml:space="preserve"> frais ne </w:t>
            </w:r>
            <w:r>
              <w:rPr>
                <w:rFonts w:cs="Arial"/>
                <w:sz w:val="20"/>
                <w:szCs w:val="22"/>
              </w:rPr>
              <w:t>pourront être</w:t>
            </w:r>
            <w:r w:rsidRPr="00503F7C">
              <w:rPr>
                <w:rFonts w:cs="Arial"/>
                <w:sz w:val="20"/>
                <w:szCs w:val="22"/>
              </w:rPr>
              <w:t xml:space="preserve"> exigés que</w:t>
            </w:r>
            <w:r>
              <w:rPr>
                <w:rFonts w:cs="Arial"/>
                <w:sz w:val="20"/>
                <w:szCs w:val="22"/>
              </w:rPr>
              <w:t xml:space="preserve"> pour une utilisation qui excède celle prévue pour toute la durée du contrat.</w:t>
            </w:r>
          </w:p>
        </w:tc>
        <w:tc>
          <w:tcPr>
            <w:tcW w:w="5130" w:type="dxa"/>
          </w:tcPr>
          <w:p w:rsidR="009C5BCD" w:rsidRPr="00FC50D9" w:rsidRDefault="009C5BCD" w:rsidP="00CF4C89">
            <w:pPr>
              <w:spacing w:before="120" w:after="120"/>
              <w:jc w:val="both"/>
              <w:rPr>
                <w:rFonts w:cs="Arial"/>
                <w:color w:val="000000"/>
                <w:sz w:val="20"/>
                <w:szCs w:val="22"/>
                <w:lang w:eastAsia="fr-FR"/>
              </w:rPr>
            </w:pPr>
          </w:p>
        </w:tc>
      </w:tr>
      <w:tr w:rsidR="009C5BCD" w:rsidRPr="00434009" w:rsidTr="003874AD">
        <w:tblPrEx>
          <w:jc w:val="left"/>
        </w:tblPrEx>
        <w:trPr>
          <w:gridAfter w:val="1"/>
          <w:wAfter w:w="10" w:type="dxa"/>
          <w:trHeight w:val="1438"/>
        </w:trPr>
        <w:tc>
          <w:tcPr>
            <w:tcW w:w="715" w:type="dxa"/>
            <w:vAlign w:val="center"/>
          </w:tcPr>
          <w:p w:rsidR="009C5BCD" w:rsidRPr="00E54326" w:rsidRDefault="00D1080A" w:rsidP="00BA0496">
            <w:pPr>
              <w:spacing w:before="120"/>
              <w:jc w:val="center"/>
              <w:rPr>
                <w:rFonts w:cs="Arial"/>
                <w:sz w:val="20"/>
                <w:szCs w:val="22"/>
              </w:rPr>
            </w:pPr>
            <w:r>
              <w:rPr>
                <w:rFonts w:cs="Arial"/>
                <w:sz w:val="20"/>
                <w:szCs w:val="22"/>
              </w:rPr>
              <w:lastRenderedPageBreak/>
              <w:t>1</w:t>
            </w:r>
            <w:r w:rsidR="006A07FB">
              <w:rPr>
                <w:rFonts w:cs="Arial"/>
                <w:sz w:val="20"/>
                <w:szCs w:val="22"/>
              </w:rPr>
              <w:t>7</w:t>
            </w:r>
          </w:p>
        </w:tc>
        <w:tc>
          <w:tcPr>
            <w:tcW w:w="1260" w:type="dxa"/>
            <w:vAlign w:val="center"/>
          </w:tcPr>
          <w:p w:rsidR="009C5BCD" w:rsidRPr="00E54326" w:rsidRDefault="009C5BCD" w:rsidP="00BA0496">
            <w:pPr>
              <w:spacing w:before="120"/>
              <w:jc w:val="center"/>
              <w:rPr>
                <w:rFonts w:cs="Arial"/>
                <w:sz w:val="20"/>
                <w:szCs w:val="22"/>
              </w:rPr>
            </w:pPr>
            <w:r w:rsidRPr="00E54326">
              <w:rPr>
                <w:rFonts w:cs="Arial"/>
                <w:sz w:val="20"/>
                <w:szCs w:val="22"/>
              </w:rPr>
              <w:t>150.9.1 a) LPC</w:t>
            </w:r>
          </w:p>
          <w:p w:rsidR="009C5BCD" w:rsidRPr="00E54326" w:rsidRDefault="009C5BCD" w:rsidP="00BA0496">
            <w:pPr>
              <w:jc w:val="center"/>
              <w:rPr>
                <w:rFonts w:cs="Arial"/>
                <w:sz w:val="20"/>
                <w:szCs w:val="22"/>
              </w:rPr>
            </w:pPr>
          </w:p>
        </w:tc>
        <w:tc>
          <w:tcPr>
            <w:tcW w:w="6300" w:type="dxa"/>
          </w:tcPr>
          <w:p w:rsidR="009C5BCD" w:rsidRPr="00434009" w:rsidRDefault="009C5BCD" w:rsidP="00BA0496">
            <w:pPr>
              <w:spacing w:before="120" w:after="120"/>
              <w:jc w:val="both"/>
              <w:rPr>
                <w:rFonts w:cs="Arial"/>
                <w:sz w:val="20"/>
                <w:szCs w:val="22"/>
              </w:rPr>
            </w:pPr>
            <w:r w:rsidRPr="00434009">
              <w:rPr>
                <w:rFonts w:cs="Arial"/>
                <w:bCs/>
                <w:sz w:val="20"/>
                <w:szCs w:val="22"/>
              </w:rPr>
              <w:t xml:space="preserve">Certains locateurs exigent des frais du consommateur à la fin du bail </w:t>
            </w:r>
            <w:r w:rsidRPr="00434009">
              <w:rPr>
                <w:rFonts w:cs="Arial"/>
                <w:sz w:val="20"/>
                <w:szCs w:val="22"/>
              </w:rPr>
              <w:t>au motif que la nature ou la qualité d’une composante qui a été installée dans le cadre d’un entretien ou d’une réparation ne les satisfait pas,</w:t>
            </w:r>
            <w:r w:rsidRPr="00434009">
              <w:rPr>
                <w:rFonts w:cs="Arial"/>
                <w:bCs/>
                <w:sz w:val="20"/>
                <w:szCs w:val="22"/>
              </w:rPr>
              <w:t xml:space="preserve"> alors que </w:t>
            </w:r>
            <w:r w:rsidRPr="00434009">
              <w:rPr>
                <w:rFonts w:cs="Arial"/>
                <w:sz w:val="20"/>
                <w:szCs w:val="22"/>
              </w:rPr>
              <w:t>le contrat ne prévoit pas expressément que le bien ne peut être remis qu’avec une composante d’une nature ou d’une qualité déterminée.</w:t>
            </w:r>
            <w:r w:rsidRPr="00434009">
              <w:rPr>
                <w:rFonts w:cs="Arial"/>
                <w:bCs/>
                <w:sz w:val="20"/>
                <w:szCs w:val="22"/>
              </w:rPr>
              <w:t xml:space="preserve"> </w:t>
            </w:r>
          </w:p>
        </w:tc>
        <w:tc>
          <w:tcPr>
            <w:tcW w:w="6030" w:type="dxa"/>
          </w:tcPr>
          <w:p w:rsidR="009C5BCD" w:rsidRPr="00434009" w:rsidRDefault="009C5BCD" w:rsidP="00BA0496">
            <w:pPr>
              <w:numPr>
                <w:ilvl w:val="0"/>
                <w:numId w:val="2"/>
              </w:numPr>
              <w:spacing w:before="120" w:after="120"/>
              <w:jc w:val="both"/>
              <w:rPr>
                <w:rFonts w:cs="Arial"/>
                <w:sz w:val="20"/>
                <w:szCs w:val="22"/>
              </w:rPr>
            </w:pPr>
            <w:r w:rsidRPr="003E27F6">
              <w:rPr>
                <w:rFonts w:cs="Arial"/>
                <w:sz w:val="20"/>
                <w:szCs w:val="22"/>
                <w:u w:val="single"/>
              </w:rPr>
              <w:t>Frais de remplacement de pièces</w:t>
            </w:r>
            <w:r w:rsidRPr="003E27F6">
              <w:rPr>
                <w:rFonts w:cs="Arial"/>
                <w:sz w:val="20"/>
                <w:szCs w:val="22"/>
              </w:rPr>
              <w:t> :</w:t>
            </w:r>
            <w:r>
              <w:rPr>
                <w:rFonts w:cs="Arial"/>
                <w:sz w:val="20"/>
                <w:szCs w:val="22"/>
              </w:rPr>
              <w:t xml:space="preserve"> i</w:t>
            </w:r>
            <w:r w:rsidRPr="00434009">
              <w:rPr>
                <w:rFonts w:cs="Arial"/>
                <w:sz w:val="20"/>
                <w:szCs w:val="22"/>
              </w:rPr>
              <w:t xml:space="preserve">nterdiction d’exiger des frais pour le remplacement d’une pièce usée pour le motif que la nature ou la qualité d’une composante installée dans le cadre du service normal d’entretien ne satisfait pas le commerçant, si le contrat ne prévoit pas expressément que le bien ne peut être remis qu’avec une composante d’une nature ou d’une qualité déterminée. </w:t>
            </w:r>
          </w:p>
        </w:tc>
        <w:tc>
          <w:tcPr>
            <w:tcW w:w="5130" w:type="dxa"/>
          </w:tcPr>
          <w:p w:rsidR="009C5BCD" w:rsidRPr="00D856D7" w:rsidRDefault="009C5BCD" w:rsidP="00BA0496">
            <w:pPr>
              <w:spacing w:before="120" w:after="120"/>
              <w:jc w:val="both"/>
              <w:rPr>
                <w:rFonts w:cs="Arial"/>
                <w:sz w:val="20"/>
                <w:szCs w:val="22"/>
              </w:rPr>
            </w:pPr>
          </w:p>
        </w:tc>
      </w:tr>
      <w:tr w:rsidR="009C5BCD" w:rsidRPr="00434009" w:rsidTr="003874AD">
        <w:tblPrEx>
          <w:jc w:val="left"/>
        </w:tblPrEx>
        <w:trPr>
          <w:gridAfter w:val="1"/>
          <w:wAfter w:w="10" w:type="dxa"/>
          <w:trHeight w:val="1150"/>
        </w:trPr>
        <w:tc>
          <w:tcPr>
            <w:tcW w:w="715" w:type="dxa"/>
            <w:vAlign w:val="center"/>
          </w:tcPr>
          <w:p w:rsidR="009C5BCD" w:rsidRPr="00E54326" w:rsidRDefault="006D6978" w:rsidP="00BA0496">
            <w:pPr>
              <w:spacing w:before="120"/>
              <w:jc w:val="center"/>
              <w:rPr>
                <w:rFonts w:cs="Arial"/>
                <w:sz w:val="20"/>
                <w:szCs w:val="22"/>
              </w:rPr>
            </w:pPr>
            <w:r>
              <w:rPr>
                <w:rFonts w:cs="Arial"/>
                <w:sz w:val="20"/>
                <w:szCs w:val="22"/>
              </w:rPr>
              <w:t>1</w:t>
            </w:r>
            <w:r w:rsidR="006A07FB">
              <w:rPr>
                <w:rFonts w:cs="Arial"/>
                <w:sz w:val="20"/>
                <w:szCs w:val="22"/>
              </w:rPr>
              <w:t>8</w:t>
            </w:r>
          </w:p>
        </w:tc>
        <w:tc>
          <w:tcPr>
            <w:tcW w:w="1260" w:type="dxa"/>
            <w:vAlign w:val="center"/>
          </w:tcPr>
          <w:p w:rsidR="009C5BCD" w:rsidRPr="00E54326" w:rsidRDefault="009C5BCD" w:rsidP="00BA0496">
            <w:pPr>
              <w:spacing w:before="120"/>
              <w:jc w:val="center"/>
              <w:rPr>
                <w:rFonts w:cs="Arial"/>
                <w:sz w:val="20"/>
                <w:szCs w:val="22"/>
              </w:rPr>
            </w:pPr>
            <w:r w:rsidRPr="00E54326">
              <w:rPr>
                <w:rFonts w:cs="Arial"/>
                <w:sz w:val="20"/>
                <w:szCs w:val="22"/>
              </w:rPr>
              <w:t>150.9.1 b) LPC</w:t>
            </w:r>
          </w:p>
          <w:p w:rsidR="009C5BCD" w:rsidRPr="00E54326" w:rsidRDefault="009C5BCD" w:rsidP="00BA0496">
            <w:pPr>
              <w:jc w:val="center"/>
              <w:rPr>
                <w:rFonts w:cs="Arial"/>
                <w:sz w:val="20"/>
                <w:szCs w:val="22"/>
              </w:rPr>
            </w:pPr>
          </w:p>
        </w:tc>
        <w:tc>
          <w:tcPr>
            <w:tcW w:w="6300" w:type="dxa"/>
          </w:tcPr>
          <w:p w:rsidR="009C5BCD" w:rsidRDefault="009C5BCD" w:rsidP="00BA0496">
            <w:pPr>
              <w:spacing w:before="120" w:after="120"/>
              <w:jc w:val="both"/>
              <w:rPr>
                <w:rFonts w:cs="Arial"/>
                <w:sz w:val="20"/>
                <w:szCs w:val="22"/>
              </w:rPr>
            </w:pPr>
            <w:r w:rsidRPr="00434009">
              <w:rPr>
                <w:rFonts w:cs="Arial"/>
                <w:bCs/>
                <w:sz w:val="20"/>
                <w:szCs w:val="22"/>
              </w:rPr>
              <w:t xml:space="preserve">Il arrive aussi que certains locateurs, </w:t>
            </w:r>
            <w:r w:rsidRPr="00434009">
              <w:rPr>
                <w:rFonts w:cs="Arial"/>
                <w:sz w:val="20"/>
                <w:szCs w:val="22"/>
              </w:rPr>
              <w:t>lorsqu’ils constatent à la fin du bail une usure anormale du bien, réclament la valeur de composantes neuves alors que l’automobile est, évidemment, usée.</w:t>
            </w:r>
          </w:p>
          <w:p w:rsidR="009C5BCD" w:rsidRPr="00434009" w:rsidRDefault="009C5BCD" w:rsidP="00BA0496">
            <w:pPr>
              <w:spacing w:before="120" w:after="120"/>
              <w:jc w:val="both"/>
              <w:rPr>
                <w:rFonts w:cs="Arial"/>
                <w:sz w:val="20"/>
                <w:szCs w:val="22"/>
              </w:rPr>
            </w:pPr>
          </w:p>
        </w:tc>
        <w:tc>
          <w:tcPr>
            <w:tcW w:w="6030" w:type="dxa"/>
          </w:tcPr>
          <w:p w:rsidR="009C5BCD" w:rsidRPr="00434009" w:rsidRDefault="009C5BCD" w:rsidP="00BA0496">
            <w:pPr>
              <w:numPr>
                <w:ilvl w:val="0"/>
                <w:numId w:val="2"/>
              </w:numPr>
              <w:spacing w:before="120" w:after="120"/>
              <w:jc w:val="both"/>
              <w:rPr>
                <w:rFonts w:cs="Arial"/>
                <w:sz w:val="20"/>
                <w:szCs w:val="22"/>
              </w:rPr>
            </w:pPr>
            <w:r w:rsidRPr="00C17AD1">
              <w:rPr>
                <w:rFonts w:cs="Arial"/>
                <w:sz w:val="20"/>
                <w:szCs w:val="22"/>
                <w:u w:val="single"/>
              </w:rPr>
              <w:t>Frais de remplacement de pièces</w:t>
            </w:r>
            <w:r w:rsidRPr="00C17AD1">
              <w:rPr>
                <w:rFonts w:cs="Arial"/>
                <w:sz w:val="20"/>
                <w:szCs w:val="22"/>
              </w:rPr>
              <w:t> :</w:t>
            </w:r>
            <w:r>
              <w:rPr>
                <w:rFonts w:cs="Arial"/>
                <w:sz w:val="20"/>
                <w:szCs w:val="22"/>
              </w:rPr>
              <w:t xml:space="preserve"> en cas d’usure anormale d’une pièce, i</w:t>
            </w:r>
            <w:r w:rsidRPr="00434009">
              <w:rPr>
                <w:rFonts w:cs="Arial"/>
                <w:sz w:val="20"/>
                <w:szCs w:val="22"/>
              </w:rPr>
              <w:t>nterdiction d’e</w:t>
            </w:r>
            <w:r>
              <w:rPr>
                <w:rFonts w:cs="Arial"/>
                <w:sz w:val="20"/>
                <w:szCs w:val="22"/>
              </w:rPr>
              <w:t>xiger des frais qui dépassent le montant de la</w:t>
            </w:r>
            <w:r w:rsidRPr="00434009">
              <w:rPr>
                <w:rFonts w:cs="Arial"/>
                <w:sz w:val="20"/>
                <w:szCs w:val="22"/>
              </w:rPr>
              <w:t xml:space="preserve"> juste valeur marchande d’une</w:t>
            </w:r>
            <w:r>
              <w:rPr>
                <w:rFonts w:cs="Arial"/>
                <w:sz w:val="20"/>
                <w:szCs w:val="22"/>
              </w:rPr>
              <w:t xml:space="preserve"> pièce présentant un état d’usure équivalent à l’état d’usure normale du bien loué. </w:t>
            </w:r>
          </w:p>
        </w:tc>
        <w:tc>
          <w:tcPr>
            <w:tcW w:w="5130" w:type="dxa"/>
          </w:tcPr>
          <w:p w:rsidR="009C5BCD" w:rsidRPr="00C83C05" w:rsidRDefault="009C5BCD" w:rsidP="00BA0496">
            <w:pPr>
              <w:spacing w:before="120" w:after="120"/>
              <w:jc w:val="both"/>
              <w:rPr>
                <w:rFonts w:cs="Arial"/>
                <w:sz w:val="20"/>
                <w:szCs w:val="22"/>
              </w:rPr>
            </w:pPr>
          </w:p>
        </w:tc>
      </w:tr>
      <w:tr w:rsidR="009C5BCD" w:rsidRPr="00434009" w:rsidTr="003874AD">
        <w:tblPrEx>
          <w:jc w:val="left"/>
        </w:tblPrEx>
        <w:trPr>
          <w:gridAfter w:val="1"/>
          <w:wAfter w:w="10" w:type="dxa"/>
          <w:trHeight w:val="889"/>
        </w:trPr>
        <w:tc>
          <w:tcPr>
            <w:tcW w:w="715" w:type="dxa"/>
            <w:vAlign w:val="center"/>
          </w:tcPr>
          <w:p w:rsidR="009C5BCD" w:rsidRPr="00E54326" w:rsidRDefault="006A07FB" w:rsidP="00BA0496">
            <w:pPr>
              <w:jc w:val="center"/>
              <w:rPr>
                <w:rFonts w:cs="Arial"/>
                <w:sz w:val="20"/>
                <w:szCs w:val="22"/>
              </w:rPr>
            </w:pPr>
            <w:r>
              <w:rPr>
                <w:rFonts w:cs="Arial"/>
                <w:sz w:val="20"/>
                <w:szCs w:val="22"/>
              </w:rPr>
              <w:t>19</w:t>
            </w:r>
          </w:p>
        </w:tc>
        <w:tc>
          <w:tcPr>
            <w:tcW w:w="1260" w:type="dxa"/>
            <w:vAlign w:val="center"/>
          </w:tcPr>
          <w:p w:rsidR="009C5BCD" w:rsidRPr="00E54326" w:rsidRDefault="009C5BCD" w:rsidP="00BA0496">
            <w:pPr>
              <w:jc w:val="center"/>
              <w:rPr>
                <w:rFonts w:cs="Arial"/>
                <w:sz w:val="20"/>
                <w:szCs w:val="22"/>
              </w:rPr>
            </w:pPr>
            <w:r w:rsidRPr="00E54326">
              <w:rPr>
                <w:rFonts w:cs="Arial"/>
                <w:sz w:val="20"/>
                <w:szCs w:val="22"/>
              </w:rPr>
              <w:t>150.6 LPC</w:t>
            </w:r>
          </w:p>
          <w:p w:rsidR="009C5BCD" w:rsidRPr="00E54326" w:rsidRDefault="009C5BCD" w:rsidP="00BA0496">
            <w:pPr>
              <w:jc w:val="center"/>
              <w:rPr>
                <w:rFonts w:cs="Arial"/>
                <w:sz w:val="20"/>
                <w:szCs w:val="22"/>
              </w:rPr>
            </w:pPr>
          </w:p>
        </w:tc>
        <w:tc>
          <w:tcPr>
            <w:tcW w:w="6300" w:type="dxa"/>
          </w:tcPr>
          <w:p w:rsidR="009C5BCD" w:rsidRPr="00434009" w:rsidRDefault="009C5BCD" w:rsidP="00BA0496">
            <w:pPr>
              <w:spacing w:before="120" w:after="120"/>
              <w:jc w:val="both"/>
              <w:rPr>
                <w:rFonts w:cs="Arial"/>
                <w:sz w:val="20"/>
                <w:szCs w:val="22"/>
              </w:rPr>
            </w:pPr>
            <w:r w:rsidRPr="00434009">
              <w:rPr>
                <w:rFonts w:cs="Arial"/>
                <w:sz w:val="20"/>
                <w:szCs w:val="22"/>
              </w:rPr>
              <w:t>Certains commerçants exigent des frais d’aliénation ou d’enlèvement du bien en fin de bail.</w:t>
            </w:r>
          </w:p>
          <w:p w:rsidR="009C5BCD" w:rsidRPr="00434009" w:rsidRDefault="009C5BCD" w:rsidP="00BA0496">
            <w:pPr>
              <w:spacing w:before="120" w:after="120"/>
              <w:jc w:val="both"/>
              <w:rPr>
                <w:rFonts w:cs="Arial"/>
                <w:sz w:val="20"/>
                <w:szCs w:val="22"/>
                <w:u w:val="single"/>
              </w:rPr>
            </w:pPr>
          </w:p>
        </w:tc>
        <w:tc>
          <w:tcPr>
            <w:tcW w:w="6030" w:type="dxa"/>
          </w:tcPr>
          <w:p w:rsidR="009C5BCD" w:rsidRPr="00434009" w:rsidRDefault="009C5BCD" w:rsidP="00BA0496">
            <w:pPr>
              <w:numPr>
                <w:ilvl w:val="0"/>
                <w:numId w:val="2"/>
              </w:numPr>
              <w:spacing w:before="120" w:after="120"/>
              <w:jc w:val="both"/>
              <w:rPr>
                <w:rFonts w:cs="Arial"/>
                <w:sz w:val="20"/>
                <w:szCs w:val="22"/>
              </w:rPr>
            </w:pPr>
            <w:r w:rsidRPr="00FD6202">
              <w:rPr>
                <w:rFonts w:cs="Arial"/>
                <w:sz w:val="20"/>
                <w:szCs w:val="22"/>
                <w:u w:val="single"/>
              </w:rPr>
              <w:t>Frais exigibles en fin de bai</w:t>
            </w:r>
            <w:r w:rsidRPr="00FD6202">
              <w:rPr>
                <w:rFonts w:cs="Arial"/>
                <w:sz w:val="20"/>
                <w:szCs w:val="22"/>
              </w:rPr>
              <w:t>l :</w:t>
            </w:r>
            <w:r>
              <w:rPr>
                <w:rFonts w:cs="Arial"/>
                <w:sz w:val="20"/>
                <w:szCs w:val="22"/>
              </w:rPr>
              <w:t xml:space="preserve"> </w:t>
            </w:r>
            <w:r w:rsidRPr="00434009">
              <w:rPr>
                <w:rFonts w:cs="Arial"/>
                <w:sz w:val="20"/>
                <w:szCs w:val="22"/>
              </w:rPr>
              <w:t xml:space="preserve">seuls </w:t>
            </w:r>
            <w:r>
              <w:rPr>
                <w:rFonts w:cs="Arial"/>
                <w:sz w:val="20"/>
                <w:szCs w:val="22"/>
              </w:rPr>
              <w:t xml:space="preserve">les </w:t>
            </w:r>
            <w:r w:rsidRPr="00434009">
              <w:rPr>
                <w:rFonts w:cs="Arial"/>
                <w:sz w:val="20"/>
                <w:szCs w:val="22"/>
              </w:rPr>
              <w:t xml:space="preserve">frais relatifs au degré d’utilisation du bien </w:t>
            </w:r>
            <w:r>
              <w:rPr>
                <w:rFonts w:cs="Arial"/>
                <w:sz w:val="20"/>
                <w:szCs w:val="22"/>
              </w:rPr>
              <w:t>sont</w:t>
            </w:r>
            <w:r w:rsidRPr="00434009">
              <w:rPr>
                <w:rFonts w:cs="Arial"/>
                <w:sz w:val="20"/>
                <w:szCs w:val="22"/>
              </w:rPr>
              <w:t xml:space="preserve"> exigibles du consommateur en fin de bail. Les paiements échus, mais non perçus peuvent être recouvrés.</w:t>
            </w:r>
          </w:p>
        </w:tc>
        <w:tc>
          <w:tcPr>
            <w:tcW w:w="5130" w:type="dxa"/>
          </w:tcPr>
          <w:p w:rsidR="009C5BCD" w:rsidRPr="00BC4622" w:rsidRDefault="009C5BCD" w:rsidP="00BA0496">
            <w:pPr>
              <w:spacing w:before="120" w:after="120"/>
              <w:jc w:val="both"/>
              <w:rPr>
                <w:rFonts w:cs="Arial"/>
                <w:sz w:val="20"/>
                <w:szCs w:val="22"/>
              </w:rPr>
            </w:pPr>
          </w:p>
        </w:tc>
      </w:tr>
      <w:tr w:rsidR="009C5BCD" w:rsidRPr="00434009" w:rsidTr="003874AD">
        <w:tblPrEx>
          <w:jc w:val="left"/>
        </w:tblPrEx>
        <w:trPr>
          <w:gridAfter w:val="1"/>
          <w:wAfter w:w="10" w:type="dxa"/>
          <w:trHeight w:val="440"/>
        </w:trPr>
        <w:tc>
          <w:tcPr>
            <w:tcW w:w="715" w:type="dxa"/>
            <w:vAlign w:val="center"/>
          </w:tcPr>
          <w:p w:rsidR="009C5BCD" w:rsidRPr="00E54326" w:rsidRDefault="00D1080A" w:rsidP="00BA0496">
            <w:pPr>
              <w:jc w:val="center"/>
              <w:rPr>
                <w:rFonts w:cs="Arial"/>
                <w:sz w:val="20"/>
                <w:szCs w:val="22"/>
              </w:rPr>
            </w:pPr>
            <w:r>
              <w:rPr>
                <w:rFonts w:cs="Arial"/>
                <w:sz w:val="20"/>
                <w:szCs w:val="22"/>
              </w:rPr>
              <w:t>2</w:t>
            </w:r>
            <w:r w:rsidR="006A07FB">
              <w:rPr>
                <w:rFonts w:cs="Arial"/>
                <w:sz w:val="20"/>
                <w:szCs w:val="22"/>
              </w:rPr>
              <w:t>0</w:t>
            </w:r>
          </w:p>
        </w:tc>
        <w:tc>
          <w:tcPr>
            <w:tcW w:w="1260" w:type="dxa"/>
            <w:vAlign w:val="center"/>
          </w:tcPr>
          <w:p w:rsidR="009C5BCD" w:rsidRPr="00E54326" w:rsidRDefault="009C5BCD" w:rsidP="00BA0496">
            <w:pPr>
              <w:jc w:val="center"/>
              <w:rPr>
                <w:rFonts w:cs="Arial"/>
                <w:sz w:val="20"/>
                <w:szCs w:val="22"/>
              </w:rPr>
            </w:pPr>
            <w:r w:rsidRPr="00E54326">
              <w:rPr>
                <w:rFonts w:cs="Arial"/>
                <w:sz w:val="20"/>
                <w:szCs w:val="22"/>
              </w:rPr>
              <w:t>150.5 LPC</w:t>
            </w:r>
          </w:p>
        </w:tc>
        <w:tc>
          <w:tcPr>
            <w:tcW w:w="6300" w:type="dxa"/>
          </w:tcPr>
          <w:p w:rsidR="009C5BCD" w:rsidRPr="00434009" w:rsidRDefault="009C5BCD" w:rsidP="00BA0496">
            <w:pPr>
              <w:spacing w:before="120" w:after="120"/>
              <w:jc w:val="both"/>
              <w:rPr>
                <w:rFonts w:cs="Arial"/>
                <w:sz w:val="20"/>
                <w:szCs w:val="22"/>
              </w:rPr>
            </w:pPr>
            <w:r w:rsidRPr="00434009">
              <w:rPr>
                <w:rFonts w:cs="Arial"/>
                <w:sz w:val="20"/>
                <w:szCs w:val="22"/>
              </w:rPr>
              <w:t>Certains contrats avec option d’achat prévoient différents frais pour l’exercice de cette option. Ces frais ne sont parfois pas présentés de façon claire, de sorte qu’il est difficile pour le profane de déterminer le coût exigible pour l’exercice de l’option.</w:t>
            </w:r>
          </w:p>
        </w:tc>
        <w:tc>
          <w:tcPr>
            <w:tcW w:w="6030" w:type="dxa"/>
          </w:tcPr>
          <w:p w:rsidR="009C5BCD" w:rsidRPr="00434009" w:rsidRDefault="009C5BCD" w:rsidP="00BA0496">
            <w:pPr>
              <w:numPr>
                <w:ilvl w:val="0"/>
                <w:numId w:val="9"/>
              </w:numPr>
              <w:spacing w:before="120" w:after="120"/>
              <w:jc w:val="both"/>
              <w:rPr>
                <w:rFonts w:cs="Arial"/>
                <w:sz w:val="20"/>
                <w:szCs w:val="22"/>
              </w:rPr>
            </w:pPr>
            <w:r w:rsidRPr="002A3742">
              <w:rPr>
                <w:rFonts w:cs="Arial"/>
                <w:sz w:val="20"/>
                <w:szCs w:val="22"/>
                <w:u w:val="single"/>
              </w:rPr>
              <w:t>Informations relatives à l’option d’achat</w:t>
            </w:r>
            <w:r w:rsidRPr="002A3742">
              <w:rPr>
                <w:rFonts w:cs="Arial"/>
                <w:sz w:val="20"/>
                <w:szCs w:val="22"/>
              </w:rPr>
              <w:t> :</w:t>
            </w:r>
            <w:r>
              <w:rPr>
                <w:rFonts w:cs="Arial"/>
                <w:sz w:val="20"/>
                <w:szCs w:val="22"/>
              </w:rPr>
              <w:t xml:space="preserve"> o</w:t>
            </w:r>
            <w:r w:rsidRPr="00434009">
              <w:rPr>
                <w:rFonts w:cs="Arial"/>
                <w:sz w:val="20"/>
                <w:szCs w:val="22"/>
              </w:rPr>
              <w:t>bligation d’indiquer clairement au contrat la manière de calculer le montant total pour acquérir le bien, incluant les frais pour lever l’option, et le moment où l'option peut être levée.</w:t>
            </w:r>
          </w:p>
        </w:tc>
        <w:tc>
          <w:tcPr>
            <w:tcW w:w="5130" w:type="dxa"/>
          </w:tcPr>
          <w:p w:rsidR="009C5BCD" w:rsidRPr="00D856D7" w:rsidRDefault="009C5BCD" w:rsidP="00BA0496">
            <w:pPr>
              <w:spacing w:before="120" w:after="120"/>
              <w:jc w:val="both"/>
              <w:rPr>
                <w:rFonts w:cs="Arial"/>
                <w:sz w:val="20"/>
                <w:szCs w:val="22"/>
              </w:rPr>
            </w:pPr>
          </w:p>
        </w:tc>
      </w:tr>
      <w:tr w:rsidR="009C5BCD" w:rsidRPr="00434009" w:rsidTr="003874AD">
        <w:tblPrEx>
          <w:jc w:val="left"/>
        </w:tblPrEx>
        <w:trPr>
          <w:gridAfter w:val="1"/>
          <w:wAfter w:w="10" w:type="dxa"/>
        </w:trPr>
        <w:tc>
          <w:tcPr>
            <w:tcW w:w="715" w:type="dxa"/>
            <w:vAlign w:val="center"/>
          </w:tcPr>
          <w:p w:rsidR="009C5BCD" w:rsidRPr="00E54326" w:rsidRDefault="00D1080A" w:rsidP="00BA0496">
            <w:pPr>
              <w:spacing w:before="120"/>
              <w:jc w:val="center"/>
              <w:rPr>
                <w:rFonts w:cs="Arial"/>
                <w:sz w:val="20"/>
                <w:szCs w:val="22"/>
              </w:rPr>
            </w:pPr>
            <w:r>
              <w:rPr>
                <w:rFonts w:cs="Arial"/>
                <w:sz w:val="20"/>
                <w:szCs w:val="22"/>
              </w:rPr>
              <w:t>2</w:t>
            </w:r>
            <w:r w:rsidR="006A07FB">
              <w:rPr>
                <w:rFonts w:cs="Arial"/>
                <w:sz w:val="20"/>
                <w:szCs w:val="22"/>
              </w:rPr>
              <w:t>1</w:t>
            </w:r>
          </w:p>
        </w:tc>
        <w:tc>
          <w:tcPr>
            <w:tcW w:w="1260" w:type="dxa"/>
            <w:vAlign w:val="center"/>
          </w:tcPr>
          <w:p w:rsidR="009C5BCD" w:rsidRPr="00E54326" w:rsidRDefault="009C5BCD" w:rsidP="00BA0496">
            <w:pPr>
              <w:spacing w:before="120"/>
              <w:jc w:val="center"/>
              <w:rPr>
                <w:rFonts w:cs="Arial"/>
                <w:sz w:val="20"/>
                <w:szCs w:val="22"/>
              </w:rPr>
            </w:pPr>
            <w:r w:rsidRPr="00E54326">
              <w:rPr>
                <w:rFonts w:cs="Arial"/>
                <w:sz w:val="20"/>
                <w:szCs w:val="22"/>
              </w:rPr>
              <w:t>150.16.1 LPC</w:t>
            </w:r>
          </w:p>
        </w:tc>
        <w:tc>
          <w:tcPr>
            <w:tcW w:w="6300" w:type="dxa"/>
          </w:tcPr>
          <w:p w:rsidR="009C5BCD" w:rsidRPr="00434009" w:rsidRDefault="009C5BCD" w:rsidP="00BA0496">
            <w:pPr>
              <w:spacing w:before="120" w:after="120"/>
              <w:jc w:val="both"/>
              <w:rPr>
                <w:rFonts w:cs="Arial"/>
                <w:sz w:val="20"/>
                <w:szCs w:val="22"/>
                <w:u w:val="single"/>
              </w:rPr>
            </w:pPr>
            <w:r w:rsidRPr="00434009">
              <w:rPr>
                <w:rFonts w:cs="Arial"/>
                <w:bCs/>
                <w:sz w:val="20"/>
                <w:szCs w:val="22"/>
              </w:rPr>
              <w:t>Contrairement à ce que la loi prévoit pour les contrats de louage à valeur résiduelle garantie, le commerçant, partie à un contrat de location qui comporte une option d’achat,</w:t>
            </w:r>
            <w:r w:rsidRPr="00434009">
              <w:rPr>
                <w:rFonts w:cs="Arial"/>
                <w:sz w:val="20"/>
                <w:szCs w:val="22"/>
              </w:rPr>
              <w:t xml:space="preserve"> peut, en cas de défaut du consommateur de respecter ses obligations, reprendre possession du bien loué sans obtenir la permission du tribunal</w:t>
            </w:r>
            <w:r>
              <w:rPr>
                <w:rFonts w:cs="Arial"/>
                <w:sz w:val="20"/>
                <w:szCs w:val="22"/>
              </w:rPr>
              <w:t>, et ce,</w:t>
            </w:r>
            <w:r w:rsidRPr="00434009">
              <w:rPr>
                <w:rFonts w:cs="Arial"/>
                <w:sz w:val="20"/>
                <w:szCs w:val="22"/>
              </w:rPr>
              <w:t xml:space="preserve"> même si le consommateur a acquitt</w:t>
            </w:r>
            <w:r>
              <w:rPr>
                <w:rFonts w:cs="Arial"/>
                <w:sz w:val="20"/>
                <w:szCs w:val="22"/>
              </w:rPr>
              <w:t>é la moitié de son obligation</w:t>
            </w:r>
            <w:r w:rsidRPr="00434009">
              <w:rPr>
                <w:rFonts w:cs="Arial"/>
                <w:sz w:val="20"/>
                <w:szCs w:val="22"/>
              </w:rPr>
              <w:t>. Cette différence est attribuable au fait que la conclusion de ce type de contrat était plutôt rare au moment où cette protection a été adoptée pour les contrats à valeur résiduelle garantie par le consommateur.</w:t>
            </w:r>
          </w:p>
        </w:tc>
        <w:tc>
          <w:tcPr>
            <w:tcW w:w="6030" w:type="dxa"/>
          </w:tcPr>
          <w:p w:rsidR="009C5BCD" w:rsidRPr="00434009" w:rsidRDefault="009C5BCD" w:rsidP="00BA0496">
            <w:pPr>
              <w:spacing w:before="120" w:after="120"/>
              <w:jc w:val="both"/>
              <w:rPr>
                <w:rFonts w:cs="Arial"/>
                <w:sz w:val="20"/>
                <w:szCs w:val="22"/>
                <w:u w:val="single"/>
              </w:rPr>
            </w:pPr>
            <w:r>
              <w:rPr>
                <w:rFonts w:cs="Arial"/>
                <w:sz w:val="20"/>
                <w:szCs w:val="22"/>
                <w:u w:val="single"/>
              </w:rPr>
              <w:t>Permission du tribunal pour reprendre le bien loué</w:t>
            </w:r>
            <w:r w:rsidRPr="00434009">
              <w:rPr>
                <w:rFonts w:cs="Arial"/>
                <w:sz w:val="20"/>
                <w:szCs w:val="22"/>
              </w:rPr>
              <w:t xml:space="preserve"> : </w:t>
            </w:r>
            <w:r w:rsidRPr="00356EE1">
              <w:rPr>
                <w:rFonts w:cs="Arial"/>
                <w:sz w:val="20"/>
                <w:szCs w:val="22"/>
              </w:rPr>
              <w:t>obligation pour le commerçant, partie à un contrat avec option d’achat du bien, en cas de défaut du consommateur, d’obtenir la permission du tribunal avant de reprendre possession du bien loué si le consommateur a acquitté</w:t>
            </w:r>
            <w:r>
              <w:rPr>
                <w:rFonts w:cs="Arial"/>
                <w:sz w:val="20"/>
                <w:szCs w:val="22"/>
              </w:rPr>
              <w:t xml:space="preserve"> au moins</w:t>
            </w:r>
            <w:r w:rsidRPr="00356EE1">
              <w:rPr>
                <w:rFonts w:cs="Arial"/>
                <w:sz w:val="20"/>
                <w:szCs w:val="22"/>
              </w:rPr>
              <w:t xml:space="preserve"> la moitié de son obligation (l’exigence ne viserait donc plus uniquement le contrat de louage à valeur résiduelle garantie).</w:t>
            </w:r>
          </w:p>
        </w:tc>
        <w:tc>
          <w:tcPr>
            <w:tcW w:w="5130" w:type="dxa"/>
          </w:tcPr>
          <w:p w:rsidR="009C5BCD" w:rsidRPr="00DE444C" w:rsidRDefault="009C5BCD" w:rsidP="00425BF2">
            <w:pPr>
              <w:spacing w:before="120" w:after="120"/>
              <w:jc w:val="both"/>
              <w:rPr>
                <w:rFonts w:cs="Arial"/>
                <w:sz w:val="20"/>
                <w:szCs w:val="22"/>
              </w:rPr>
            </w:pPr>
          </w:p>
        </w:tc>
      </w:tr>
      <w:tr w:rsidR="009C5BCD" w:rsidRPr="00434009" w:rsidTr="003874AD">
        <w:tblPrEx>
          <w:jc w:val="left"/>
        </w:tblPrEx>
        <w:trPr>
          <w:gridAfter w:val="1"/>
          <w:wAfter w:w="10" w:type="dxa"/>
        </w:trPr>
        <w:tc>
          <w:tcPr>
            <w:tcW w:w="715" w:type="dxa"/>
            <w:vAlign w:val="center"/>
          </w:tcPr>
          <w:p w:rsidR="009C5BCD" w:rsidRPr="00E54326" w:rsidRDefault="00D1080A" w:rsidP="00BA0496">
            <w:pPr>
              <w:spacing w:before="120"/>
              <w:jc w:val="center"/>
              <w:rPr>
                <w:rFonts w:cs="Arial"/>
                <w:sz w:val="20"/>
                <w:szCs w:val="22"/>
              </w:rPr>
            </w:pPr>
            <w:r>
              <w:rPr>
                <w:rFonts w:cs="Arial"/>
                <w:sz w:val="20"/>
                <w:szCs w:val="22"/>
              </w:rPr>
              <w:lastRenderedPageBreak/>
              <w:t>2</w:t>
            </w:r>
            <w:r w:rsidR="006A07FB">
              <w:rPr>
                <w:rFonts w:cs="Arial"/>
                <w:sz w:val="20"/>
                <w:szCs w:val="22"/>
              </w:rPr>
              <w:t>2</w:t>
            </w:r>
          </w:p>
        </w:tc>
        <w:tc>
          <w:tcPr>
            <w:tcW w:w="1260" w:type="dxa"/>
            <w:vAlign w:val="center"/>
          </w:tcPr>
          <w:p w:rsidR="009C5BCD" w:rsidRPr="00E54326" w:rsidRDefault="009C5BCD" w:rsidP="00BA0496">
            <w:pPr>
              <w:spacing w:before="120"/>
              <w:jc w:val="center"/>
              <w:rPr>
                <w:rFonts w:cs="Arial"/>
                <w:sz w:val="20"/>
                <w:szCs w:val="22"/>
              </w:rPr>
            </w:pPr>
            <w:r w:rsidRPr="00E54326">
              <w:rPr>
                <w:rFonts w:cs="Arial"/>
                <w:sz w:val="20"/>
                <w:szCs w:val="22"/>
              </w:rPr>
              <w:t>150.11.1 à 150.11.4 LPC</w:t>
            </w:r>
          </w:p>
        </w:tc>
        <w:tc>
          <w:tcPr>
            <w:tcW w:w="6300" w:type="dxa"/>
          </w:tcPr>
          <w:p w:rsidR="009C5BCD" w:rsidRPr="00434009" w:rsidRDefault="009C5BCD" w:rsidP="00BA0496">
            <w:pPr>
              <w:spacing w:before="120" w:after="120"/>
              <w:jc w:val="both"/>
              <w:rPr>
                <w:rFonts w:cs="Arial"/>
                <w:sz w:val="20"/>
                <w:szCs w:val="22"/>
                <w:u w:val="single"/>
              </w:rPr>
            </w:pPr>
            <w:r w:rsidRPr="00434009">
              <w:rPr>
                <w:rFonts w:cs="Arial"/>
                <w:bCs/>
                <w:sz w:val="20"/>
                <w:szCs w:val="22"/>
              </w:rPr>
              <w:t>Plusieurs contrats de location à long terme contiennent des clauses qui empêchent le consommateur de sous-louer ou de céder le bien à de nouveaux locataires ou qui permettent au locateur d’imposer des restrictions non justifiées. Cela a notamment pour effet d’empêcher le locataire, qui éprouve des difficultés à respecter ses obligations, de trouver un autre consommateur qui serait en mesure de respecter les termes du contrat et, par conséquent, de l’exposer davantage à la possibilité qu’il soit en défaut et aux conséquences qui en découlent.</w:t>
            </w:r>
          </w:p>
        </w:tc>
        <w:tc>
          <w:tcPr>
            <w:tcW w:w="6030" w:type="dxa"/>
          </w:tcPr>
          <w:p w:rsidR="009C5BCD" w:rsidRPr="00434009" w:rsidRDefault="009C5BCD" w:rsidP="00BA0496">
            <w:pPr>
              <w:spacing w:before="120" w:after="120"/>
              <w:jc w:val="both"/>
              <w:rPr>
                <w:rFonts w:cs="Arial"/>
                <w:sz w:val="20"/>
                <w:szCs w:val="22"/>
                <w:u w:val="single"/>
              </w:rPr>
            </w:pPr>
            <w:r w:rsidRPr="00434009">
              <w:rPr>
                <w:rFonts w:cs="Arial"/>
                <w:sz w:val="20"/>
                <w:szCs w:val="22"/>
                <w:u w:val="single"/>
              </w:rPr>
              <w:t>Transfert de bail</w:t>
            </w:r>
            <w:r w:rsidRPr="00434009">
              <w:rPr>
                <w:rFonts w:cs="Arial"/>
                <w:sz w:val="20"/>
                <w:szCs w:val="22"/>
              </w:rPr>
              <w:t xml:space="preserve"> : possibilité de sous-louer le bien ou de céder le contrat avec le consentement du commerçant qui ne peut refuser </w:t>
            </w:r>
            <w:r w:rsidRPr="00434009">
              <w:rPr>
                <w:rFonts w:cs="Arial"/>
                <w:color w:val="000000"/>
                <w:sz w:val="20"/>
                <w:szCs w:val="22"/>
              </w:rPr>
              <w:t>sans un motif sérieux.</w:t>
            </w:r>
          </w:p>
        </w:tc>
        <w:tc>
          <w:tcPr>
            <w:tcW w:w="5130" w:type="dxa"/>
          </w:tcPr>
          <w:p w:rsidR="009C5BCD" w:rsidRPr="00DE444C" w:rsidRDefault="009C5BCD" w:rsidP="00BA0496">
            <w:pPr>
              <w:spacing w:before="120" w:after="120"/>
              <w:jc w:val="both"/>
              <w:rPr>
                <w:rFonts w:cs="Arial"/>
                <w:sz w:val="20"/>
                <w:szCs w:val="22"/>
              </w:rPr>
            </w:pPr>
          </w:p>
        </w:tc>
      </w:tr>
      <w:tr w:rsidR="006A07FB" w:rsidRPr="00434009" w:rsidTr="003874AD">
        <w:tblPrEx>
          <w:jc w:val="left"/>
        </w:tblPrEx>
        <w:trPr>
          <w:gridAfter w:val="1"/>
          <w:wAfter w:w="10" w:type="dxa"/>
        </w:trPr>
        <w:tc>
          <w:tcPr>
            <w:tcW w:w="715" w:type="dxa"/>
            <w:vAlign w:val="center"/>
          </w:tcPr>
          <w:p w:rsidR="006A07FB" w:rsidRDefault="006A07FB" w:rsidP="00BA0496">
            <w:pPr>
              <w:spacing w:before="120"/>
              <w:jc w:val="center"/>
              <w:rPr>
                <w:rFonts w:cs="Arial"/>
                <w:sz w:val="20"/>
                <w:szCs w:val="22"/>
              </w:rPr>
            </w:pPr>
            <w:r>
              <w:rPr>
                <w:rFonts w:cs="Arial"/>
                <w:sz w:val="20"/>
                <w:szCs w:val="22"/>
              </w:rPr>
              <w:t>23</w:t>
            </w:r>
          </w:p>
        </w:tc>
        <w:tc>
          <w:tcPr>
            <w:tcW w:w="1260" w:type="dxa"/>
            <w:vAlign w:val="center"/>
          </w:tcPr>
          <w:p w:rsidR="006A07FB" w:rsidRPr="00E54326" w:rsidRDefault="006A07FB" w:rsidP="00BA0496">
            <w:pPr>
              <w:spacing w:before="120"/>
              <w:jc w:val="center"/>
              <w:rPr>
                <w:rFonts w:cs="Arial"/>
                <w:sz w:val="20"/>
                <w:szCs w:val="22"/>
              </w:rPr>
            </w:pPr>
            <w:r>
              <w:rPr>
                <w:rFonts w:cs="Arial"/>
                <w:sz w:val="20"/>
                <w:szCs w:val="22"/>
              </w:rPr>
              <w:t>LPC</w:t>
            </w:r>
          </w:p>
        </w:tc>
        <w:tc>
          <w:tcPr>
            <w:tcW w:w="6300" w:type="dxa"/>
          </w:tcPr>
          <w:p w:rsidR="006A07FB" w:rsidRPr="006A07FB" w:rsidRDefault="006A07FB" w:rsidP="006A07FB">
            <w:pPr>
              <w:spacing w:before="120" w:after="120"/>
              <w:jc w:val="both"/>
              <w:rPr>
                <w:rFonts w:cs="Arial"/>
                <w:bCs/>
                <w:sz w:val="20"/>
                <w:szCs w:val="22"/>
              </w:rPr>
            </w:pPr>
            <w:r w:rsidRPr="006A07FB">
              <w:rPr>
                <w:rFonts w:cs="Arial"/>
                <w:bCs/>
                <w:sz w:val="20"/>
                <w:szCs w:val="22"/>
              </w:rPr>
              <w:t>La LPC n’établit pas de limite à la durée des contrats de crédit conclus par un consommateur et un commerçant dans le but de financer l’achat d’une automobile.</w:t>
            </w:r>
          </w:p>
          <w:p w:rsidR="006A07FB" w:rsidRDefault="006A07FB" w:rsidP="006A07FB">
            <w:pPr>
              <w:spacing w:before="120" w:after="120"/>
              <w:jc w:val="both"/>
              <w:rPr>
                <w:rFonts w:cs="Arial"/>
                <w:bCs/>
                <w:sz w:val="20"/>
                <w:szCs w:val="22"/>
              </w:rPr>
            </w:pPr>
            <w:r w:rsidRPr="006A07FB">
              <w:rPr>
                <w:rFonts w:cs="Arial"/>
                <w:bCs/>
                <w:sz w:val="20"/>
                <w:szCs w:val="22"/>
              </w:rPr>
              <w:t xml:space="preserve">Or, remarque le magazine Protégez-Vous dans son </w:t>
            </w:r>
            <w:r w:rsidRPr="006A07FB">
              <w:rPr>
                <w:rFonts w:cs="Arial"/>
                <w:bCs/>
                <w:i/>
                <w:sz w:val="20"/>
                <w:szCs w:val="22"/>
              </w:rPr>
              <w:t>Guide annuel Autos neuves et d’occasion 2018</w:t>
            </w:r>
            <w:r w:rsidRPr="006A07FB">
              <w:rPr>
                <w:rFonts w:cs="Arial"/>
                <w:bCs/>
                <w:sz w:val="20"/>
                <w:szCs w:val="22"/>
              </w:rPr>
              <w:t xml:space="preserve">, depuis la crise financière de 2007, « étant donné les taux d’intérêt très bas et la baisse du pouvoir d’achat des consommateurs, les constructeurs vont étirer la durée des prêts pour que les mensualités restent abordables ». </w:t>
            </w:r>
          </w:p>
          <w:p w:rsidR="005C340C" w:rsidRDefault="005C340C" w:rsidP="005C340C">
            <w:pPr>
              <w:spacing w:before="120" w:after="120"/>
              <w:jc w:val="both"/>
              <w:rPr>
                <w:rFonts w:cs="Arial"/>
                <w:sz w:val="20"/>
                <w:szCs w:val="22"/>
              </w:rPr>
            </w:pPr>
            <w:r>
              <w:rPr>
                <w:rFonts w:cs="Arial"/>
                <w:sz w:val="20"/>
                <w:szCs w:val="22"/>
              </w:rPr>
              <w:t>En 2015, un sondage de l’Automobile Consumer Coalition révélait que 69 % des Canadiens avaient signé un contrat de prêt automobile de 6 ans ou plus. Des prêts de 8 et 9 ans sont désormais offerts aux consommateurs.</w:t>
            </w:r>
          </w:p>
          <w:p w:rsidR="006A07FB" w:rsidRPr="005C340C" w:rsidRDefault="005C340C" w:rsidP="00BA0496">
            <w:pPr>
              <w:spacing w:before="120" w:after="120"/>
              <w:jc w:val="both"/>
              <w:rPr>
                <w:rFonts w:cs="Arial"/>
                <w:sz w:val="20"/>
                <w:szCs w:val="22"/>
              </w:rPr>
            </w:pPr>
            <w:r>
              <w:rPr>
                <w:rFonts w:cs="Arial"/>
                <w:sz w:val="20"/>
                <w:szCs w:val="22"/>
              </w:rPr>
              <w:t>Selon Protégez-Vous, « cela permet aux constructeurs de vendre des véhicules plus chers (VUS, camionnettes) à la place des compactes en proposant les mêmes mensualités que pour ces dernières – un choix qui n’est pas sans risque pour les consommateurs ».</w:t>
            </w:r>
          </w:p>
        </w:tc>
        <w:tc>
          <w:tcPr>
            <w:tcW w:w="6030" w:type="dxa"/>
          </w:tcPr>
          <w:p w:rsidR="006A07FB" w:rsidRPr="006A07FB" w:rsidRDefault="006A07FB" w:rsidP="006A07FB">
            <w:pPr>
              <w:spacing w:before="120" w:after="120"/>
              <w:jc w:val="both"/>
              <w:rPr>
                <w:rFonts w:cs="Arial"/>
                <w:sz w:val="20"/>
                <w:szCs w:val="22"/>
              </w:rPr>
            </w:pPr>
            <w:r w:rsidRPr="006A07FB">
              <w:rPr>
                <w:rFonts w:cs="Arial"/>
                <w:sz w:val="20"/>
                <w:szCs w:val="22"/>
                <w:u w:val="single"/>
              </w:rPr>
              <w:t xml:space="preserve">Durée maximale du contrat visant à financer une automobile : </w:t>
            </w:r>
            <w:r w:rsidRPr="006A07FB">
              <w:rPr>
                <w:rFonts w:cs="Arial"/>
                <w:sz w:val="20"/>
                <w:szCs w:val="22"/>
              </w:rPr>
              <w:t>établir la durée maximale (par exemple 60 mois) des contrats de crédit visant à financer l’achat d’une automobile.</w:t>
            </w:r>
          </w:p>
          <w:p w:rsidR="006A07FB" w:rsidRPr="006A07FB" w:rsidRDefault="006A07FB" w:rsidP="006A07FB">
            <w:pPr>
              <w:spacing w:before="120" w:after="120"/>
              <w:jc w:val="both"/>
              <w:rPr>
                <w:rFonts w:cs="Arial"/>
                <w:sz w:val="20"/>
                <w:szCs w:val="22"/>
              </w:rPr>
            </w:pPr>
          </w:p>
          <w:p w:rsidR="006A07FB" w:rsidRPr="00434009" w:rsidRDefault="006A07FB" w:rsidP="006A07FB">
            <w:pPr>
              <w:spacing w:before="120" w:after="120"/>
              <w:jc w:val="both"/>
              <w:rPr>
                <w:rFonts w:cs="Arial"/>
                <w:sz w:val="20"/>
                <w:szCs w:val="22"/>
                <w:u w:val="single"/>
              </w:rPr>
            </w:pPr>
            <w:r w:rsidRPr="006A07FB">
              <w:rPr>
                <w:rFonts w:cs="Arial"/>
                <w:sz w:val="20"/>
                <w:szCs w:val="22"/>
              </w:rPr>
              <w:t>(S’applique aussi au contrat de louage à long terme d’une automobile).</w:t>
            </w:r>
          </w:p>
        </w:tc>
        <w:tc>
          <w:tcPr>
            <w:tcW w:w="5130" w:type="dxa"/>
          </w:tcPr>
          <w:p w:rsidR="006A07FB" w:rsidRPr="00DE444C" w:rsidRDefault="006A07FB" w:rsidP="00BA0496">
            <w:pPr>
              <w:spacing w:before="120" w:after="120"/>
              <w:jc w:val="both"/>
              <w:rPr>
                <w:rFonts w:cs="Arial"/>
                <w:sz w:val="20"/>
                <w:szCs w:val="22"/>
              </w:rPr>
            </w:pPr>
          </w:p>
        </w:tc>
      </w:tr>
      <w:tr w:rsidR="00A77C13" w:rsidRPr="00434009" w:rsidTr="003874AD">
        <w:tblPrEx>
          <w:jc w:val="left"/>
        </w:tblPrEx>
        <w:trPr>
          <w:gridAfter w:val="1"/>
          <w:wAfter w:w="10" w:type="dxa"/>
        </w:trPr>
        <w:tc>
          <w:tcPr>
            <w:tcW w:w="715" w:type="dxa"/>
            <w:vAlign w:val="center"/>
          </w:tcPr>
          <w:p w:rsidR="00A77C13" w:rsidRDefault="00A77C13" w:rsidP="00BA0496">
            <w:pPr>
              <w:spacing w:before="120"/>
              <w:jc w:val="center"/>
              <w:rPr>
                <w:rFonts w:cs="Arial"/>
                <w:sz w:val="20"/>
                <w:szCs w:val="22"/>
              </w:rPr>
            </w:pPr>
            <w:r>
              <w:rPr>
                <w:rFonts w:cs="Arial"/>
                <w:sz w:val="20"/>
                <w:szCs w:val="22"/>
              </w:rPr>
              <w:t>24</w:t>
            </w:r>
          </w:p>
        </w:tc>
        <w:tc>
          <w:tcPr>
            <w:tcW w:w="1260" w:type="dxa"/>
            <w:vAlign w:val="center"/>
          </w:tcPr>
          <w:p w:rsidR="00A77C13" w:rsidRDefault="00A77C13" w:rsidP="00BA0496">
            <w:pPr>
              <w:spacing w:before="120"/>
              <w:jc w:val="center"/>
              <w:rPr>
                <w:rFonts w:cs="Arial"/>
                <w:sz w:val="20"/>
                <w:szCs w:val="22"/>
              </w:rPr>
            </w:pPr>
            <w:r>
              <w:rPr>
                <w:rFonts w:cs="Arial"/>
                <w:sz w:val="20"/>
                <w:szCs w:val="22"/>
              </w:rPr>
              <w:t>LPC</w:t>
            </w:r>
          </w:p>
        </w:tc>
        <w:tc>
          <w:tcPr>
            <w:tcW w:w="6300" w:type="dxa"/>
          </w:tcPr>
          <w:p w:rsidR="00A77C13" w:rsidRPr="006A07FB" w:rsidRDefault="008E106B" w:rsidP="00915D53">
            <w:pPr>
              <w:spacing w:before="120" w:after="120"/>
              <w:jc w:val="both"/>
              <w:rPr>
                <w:rFonts w:cs="Arial"/>
                <w:bCs/>
                <w:sz w:val="20"/>
                <w:szCs w:val="22"/>
              </w:rPr>
            </w:pPr>
            <w:r>
              <w:rPr>
                <w:rFonts w:cs="Arial"/>
                <w:bCs/>
                <w:sz w:val="20"/>
                <w:szCs w:val="22"/>
              </w:rPr>
              <w:t>Plusieurs provinces canadiennes</w:t>
            </w:r>
            <w:r w:rsidR="00915D53">
              <w:rPr>
                <w:rFonts w:cs="Arial"/>
                <w:bCs/>
                <w:sz w:val="20"/>
                <w:szCs w:val="22"/>
              </w:rPr>
              <w:t xml:space="preserve"> (Ontario, Alberta, Colombie-Britannique</w:t>
            </w:r>
            <w:r w:rsidR="00363443">
              <w:rPr>
                <w:rFonts w:cs="Arial"/>
                <w:bCs/>
                <w:sz w:val="20"/>
                <w:szCs w:val="22"/>
              </w:rPr>
              <w:t xml:space="preserve"> et Manitoba</w:t>
            </w:r>
            <w:r w:rsidR="00915D53">
              <w:rPr>
                <w:rFonts w:cs="Arial"/>
                <w:bCs/>
                <w:sz w:val="20"/>
                <w:szCs w:val="22"/>
              </w:rPr>
              <w:t xml:space="preserve">) </w:t>
            </w:r>
            <w:r>
              <w:rPr>
                <w:rFonts w:cs="Arial"/>
                <w:bCs/>
                <w:sz w:val="20"/>
                <w:szCs w:val="22"/>
              </w:rPr>
              <w:t xml:space="preserve">prévoient l’obligation pour les représentants vendeurs d’un commerçant de véhicules routiers d’être titulaire d’une certification ou d’un permis. Cette </w:t>
            </w:r>
            <w:r w:rsidR="00915D53">
              <w:rPr>
                <w:rFonts w:cs="Arial"/>
                <w:bCs/>
                <w:sz w:val="20"/>
                <w:szCs w:val="22"/>
              </w:rPr>
              <w:t>obligation</w:t>
            </w:r>
            <w:r>
              <w:rPr>
                <w:rFonts w:cs="Arial"/>
                <w:bCs/>
                <w:sz w:val="20"/>
                <w:szCs w:val="22"/>
              </w:rPr>
              <w:t xml:space="preserve"> permet </w:t>
            </w:r>
            <w:r w:rsidR="000C5894">
              <w:rPr>
                <w:rFonts w:cs="Arial"/>
                <w:bCs/>
                <w:sz w:val="20"/>
                <w:szCs w:val="22"/>
              </w:rPr>
              <w:t xml:space="preserve">de responsabiliser ces vendeurs et </w:t>
            </w:r>
            <w:r w:rsidR="00915D53">
              <w:rPr>
                <w:rFonts w:cs="Arial"/>
                <w:bCs/>
                <w:sz w:val="20"/>
                <w:szCs w:val="22"/>
              </w:rPr>
              <w:t>assure</w:t>
            </w:r>
            <w:r w:rsidR="000C5894">
              <w:rPr>
                <w:rFonts w:cs="Arial"/>
                <w:bCs/>
                <w:sz w:val="20"/>
                <w:szCs w:val="22"/>
              </w:rPr>
              <w:t xml:space="preserve"> une meilleure surveillance </w:t>
            </w:r>
            <w:r w:rsidR="00915D53">
              <w:rPr>
                <w:rFonts w:cs="Arial"/>
                <w:bCs/>
                <w:sz w:val="20"/>
                <w:szCs w:val="22"/>
              </w:rPr>
              <w:t>des pratiques utilisées dans ce</w:t>
            </w:r>
            <w:r w:rsidR="000C5894">
              <w:rPr>
                <w:rFonts w:cs="Arial"/>
                <w:bCs/>
                <w:sz w:val="20"/>
                <w:szCs w:val="22"/>
              </w:rPr>
              <w:t xml:space="preserve"> marché.</w:t>
            </w:r>
          </w:p>
        </w:tc>
        <w:tc>
          <w:tcPr>
            <w:tcW w:w="6030" w:type="dxa"/>
          </w:tcPr>
          <w:p w:rsidR="00A77C13" w:rsidRPr="000C5894" w:rsidRDefault="000C5894" w:rsidP="000C5894">
            <w:pPr>
              <w:spacing w:before="120" w:after="120"/>
              <w:jc w:val="both"/>
              <w:rPr>
                <w:rFonts w:cs="Arial"/>
                <w:sz w:val="20"/>
                <w:szCs w:val="22"/>
              </w:rPr>
            </w:pPr>
            <w:r w:rsidRPr="000C5894">
              <w:rPr>
                <w:rFonts w:cs="Arial"/>
                <w:sz w:val="20"/>
                <w:szCs w:val="22"/>
              </w:rPr>
              <w:t>Prévoir l’obligation pour un vendeur qui agit pour un commerçant de véhicule routier d’être titulaire d’un certificat délivré par l’Office s’il satisfait aux conditions prévues au règlement</w:t>
            </w:r>
          </w:p>
        </w:tc>
        <w:tc>
          <w:tcPr>
            <w:tcW w:w="5130" w:type="dxa"/>
          </w:tcPr>
          <w:p w:rsidR="00A77C13" w:rsidRPr="00DE444C" w:rsidRDefault="00A77C13" w:rsidP="00BA0496">
            <w:pPr>
              <w:spacing w:before="120" w:after="120"/>
              <w:jc w:val="both"/>
              <w:rPr>
                <w:rFonts w:cs="Arial"/>
                <w:sz w:val="20"/>
                <w:szCs w:val="22"/>
              </w:rPr>
            </w:pPr>
          </w:p>
        </w:tc>
      </w:tr>
      <w:tr w:rsidR="003B32C6" w:rsidRPr="00434009" w:rsidTr="003874AD">
        <w:tblPrEx>
          <w:jc w:val="left"/>
        </w:tblPrEx>
        <w:trPr>
          <w:gridAfter w:val="1"/>
          <w:wAfter w:w="10" w:type="dxa"/>
        </w:trPr>
        <w:tc>
          <w:tcPr>
            <w:tcW w:w="715" w:type="dxa"/>
            <w:vAlign w:val="center"/>
          </w:tcPr>
          <w:p w:rsidR="003B32C6" w:rsidRDefault="003B32C6" w:rsidP="003B32C6">
            <w:pPr>
              <w:spacing w:before="120"/>
              <w:jc w:val="center"/>
              <w:rPr>
                <w:rFonts w:cs="Arial"/>
                <w:sz w:val="20"/>
                <w:szCs w:val="22"/>
              </w:rPr>
            </w:pPr>
            <w:r>
              <w:rPr>
                <w:rFonts w:cs="Arial"/>
                <w:sz w:val="20"/>
                <w:szCs w:val="22"/>
              </w:rPr>
              <w:lastRenderedPageBreak/>
              <w:t>25</w:t>
            </w:r>
          </w:p>
        </w:tc>
        <w:tc>
          <w:tcPr>
            <w:tcW w:w="1260" w:type="dxa"/>
            <w:vAlign w:val="center"/>
          </w:tcPr>
          <w:p w:rsidR="003B32C6" w:rsidRPr="00120FEF" w:rsidRDefault="003379C2" w:rsidP="003B32C6">
            <w:pPr>
              <w:pStyle w:val="Paragraphedeliste"/>
              <w:autoSpaceDE w:val="0"/>
              <w:autoSpaceDN w:val="0"/>
              <w:adjustRightInd w:val="0"/>
              <w:spacing w:before="120"/>
              <w:ind w:left="0"/>
              <w:contextualSpacing w:val="0"/>
              <w:jc w:val="center"/>
              <w:rPr>
                <w:rFonts w:cs="Arial"/>
                <w:sz w:val="20"/>
                <w:szCs w:val="22"/>
              </w:rPr>
            </w:pPr>
            <w:r>
              <w:rPr>
                <w:rFonts w:cs="Arial"/>
                <w:sz w:val="20"/>
                <w:szCs w:val="22"/>
              </w:rPr>
              <w:t>160</w:t>
            </w:r>
            <w:r w:rsidR="003B32C6" w:rsidRPr="000A5846">
              <w:rPr>
                <w:rFonts w:cs="Arial"/>
                <w:sz w:val="20"/>
                <w:szCs w:val="22"/>
              </w:rPr>
              <w:t xml:space="preserve"> LPC</w:t>
            </w:r>
          </w:p>
        </w:tc>
        <w:tc>
          <w:tcPr>
            <w:tcW w:w="6300" w:type="dxa"/>
          </w:tcPr>
          <w:p w:rsidR="001E3FAF" w:rsidRDefault="001E3FAF" w:rsidP="00305D54">
            <w:pPr>
              <w:autoSpaceDE w:val="0"/>
              <w:autoSpaceDN w:val="0"/>
              <w:adjustRightInd w:val="0"/>
              <w:spacing w:before="120" w:after="120"/>
              <w:jc w:val="both"/>
              <w:rPr>
                <w:rFonts w:cs="Arial"/>
                <w:sz w:val="20"/>
                <w:szCs w:val="22"/>
              </w:rPr>
            </w:pPr>
            <w:r w:rsidRPr="001E3FAF">
              <w:rPr>
                <w:rFonts w:cs="Arial"/>
                <w:sz w:val="20"/>
                <w:szCs w:val="22"/>
              </w:rPr>
              <w:t>Lors de l’entrée en vigueur, en 1980, des dispositions de la LPC portant sur les garanties légales de bon fonctionnement des automobiles d’occasion, la garantie conventionnelle de base du fabricant d’une automobile était généralement d’une durée d’un an ou 20 000 km, selon le premier terme atteint. L’entrée en vigueur  de ces nouvelles dispositions de la LPC forçait donc les commerçants à garantir des automobiles d’occasion auxquelles ne s’appliquait plus, depuis longtemps, la garantie de base du fabricant. Selon les catégories d’automobiles d’occasion établies à l’article 160 LPC, l’écart avec la garantie conventionnelle de base de l’époque correspondait à ce qui suit :</w:t>
            </w:r>
          </w:p>
          <w:p w:rsidR="006F2BBE" w:rsidRPr="006F2BBE" w:rsidRDefault="00305D54" w:rsidP="006F2BBE">
            <w:pPr>
              <w:pStyle w:val="Paragraphedeliste"/>
              <w:numPr>
                <w:ilvl w:val="0"/>
                <w:numId w:val="367"/>
              </w:numPr>
              <w:autoSpaceDE w:val="0"/>
              <w:autoSpaceDN w:val="0"/>
              <w:adjustRightInd w:val="0"/>
              <w:spacing w:before="120" w:after="120"/>
              <w:rPr>
                <w:rFonts w:cs="Arial"/>
                <w:sz w:val="20"/>
                <w:szCs w:val="22"/>
              </w:rPr>
            </w:pPr>
            <w:r w:rsidRPr="006F2BBE">
              <w:rPr>
                <w:rFonts w:cs="Arial"/>
                <w:sz w:val="20"/>
                <w:szCs w:val="22"/>
              </w:rPr>
              <w:t>un an ou 20 000 km</w:t>
            </w:r>
            <w:r w:rsidR="00FF4501">
              <w:rPr>
                <w:rFonts w:cs="Arial"/>
                <w:sz w:val="20"/>
                <w:szCs w:val="22"/>
              </w:rPr>
              <w:t xml:space="preserve"> (écart entre la catégorie A et ancien standard pour la garantie de base du fabricant)</w:t>
            </w:r>
          </w:p>
          <w:p w:rsidR="00FF4501" w:rsidRDefault="00305D54" w:rsidP="00305D54">
            <w:pPr>
              <w:pStyle w:val="Paragraphedeliste"/>
              <w:numPr>
                <w:ilvl w:val="0"/>
                <w:numId w:val="367"/>
              </w:numPr>
              <w:autoSpaceDE w:val="0"/>
              <w:autoSpaceDN w:val="0"/>
              <w:adjustRightInd w:val="0"/>
              <w:spacing w:before="120" w:after="120"/>
              <w:rPr>
                <w:rFonts w:cs="Arial"/>
                <w:sz w:val="20"/>
                <w:szCs w:val="22"/>
              </w:rPr>
            </w:pPr>
            <w:r w:rsidRPr="006F2BBE">
              <w:rPr>
                <w:rFonts w:cs="Arial"/>
                <w:sz w:val="20"/>
                <w:szCs w:val="22"/>
              </w:rPr>
              <w:t>deux ans ou 40 000 km</w:t>
            </w:r>
            <w:r w:rsidR="00FF4501">
              <w:rPr>
                <w:rFonts w:cs="Arial"/>
                <w:sz w:val="20"/>
                <w:szCs w:val="22"/>
              </w:rPr>
              <w:t xml:space="preserve"> (écart entre la catégorie B</w:t>
            </w:r>
            <w:r w:rsidR="00FF4501" w:rsidRPr="00FF4501">
              <w:rPr>
                <w:rFonts w:cs="Arial"/>
                <w:sz w:val="20"/>
                <w:szCs w:val="22"/>
              </w:rPr>
              <w:t xml:space="preserve"> et ancien standard pour la garantie de base</w:t>
            </w:r>
            <w:r w:rsidR="00FF4501">
              <w:rPr>
                <w:rFonts w:cs="Arial"/>
                <w:sz w:val="20"/>
                <w:szCs w:val="22"/>
              </w:rPr>
              <w:t xml:space="preserve"> du fabricant</w:t>
            </w:r>
            <w:r w:rsidR="00FF4501" w:rsidRPr="00FF4501">
              <w:rPr>
                <w:rFonts w:cs="Arial"/>
                <w:sz w:val="20"/>
                <w:szCs w:val="22"/>
              </w:rPr>
              <w:t>)</w:t>
            </w:r>
          </w:p>
          <w:p w:rsidR="00305D54" w:rsidRPr="00FF4501" w:rsidRDefault="00305D54" w:rsidP="00305D54">
            <w:pPr>
              <w:pStyle w:val="Paragraphedeliste"/>
              <w:numPr>
                <w:ilvl w:val="0"/>
                <w:numId w:val="367"/>
              </w:numPr>
              <w:autoSpaceDE w:val="0"/>
              <w:autoSpaceDN w:val="0"/>
              <w:adjustRightInd w:val="0"/>
              <w:spacing w:before="120" w:after="120"/>
              <w:rPr>
                <w:rFonts w:cs="Arial"/>
                <w:sz w:val="20"/>
                <w:szCs w:val="22"/>
              </w:rPr>
            </w:pPr>
            <w:r w:rsidRPr="00FF4501">
              <w:rPr>
                <w:rFonts w:cs="Arial"/>
                <w:sz w:val="20"/>
                <w:szCs w:val="22"/>
              </w:rPr>
              <w:t>quatre ans ou 60 000 km</w:t>
            </w:r>
            <w:r w:rsidR="00FF4501" w:rsidRPr="00FF4501">
              <w:rPr>
                <w:rFonts w:cs="Arial"/>
                <w:sz w:val="20"/>
                <w:szCs w:val="22"/>
              </w:rPr>
              <w:t xml:space="preserve"> (écart entre la catégorie C et ancien standard pour la garantie de base du fabricant)</w:t>
            </w:r>
          </w:p>
          <w:p w:rsidR="003B32C6" w:rsidRDefault="006F2BBE" w:rsidP="003B32C6">
            <w:pPr>
              <w:autoSpaceDE w:val="0"/>
              <w:autoSpaceDN w:val="0"/>
              <w:adjustRightInd w:val="0"/>
              <w:spacing w:before="120" w:after="120"/>
              <w:jc w:val="both"/>
              <w:rPr>
                <w:rFonts w:cs="Arial"/>
                <w:sz w:val="20"/>
                <w:szCs w:val="22"/>
              </w:rPr>
            </w:pPr>
            <w:r>
              <w:rPr>
                <w:rFonts w:cs="Arial"/>
                <w:sz w:val="20"/>
                <w:szCs w:val="22"/>
              </w:rPr>
              <w:t xml:space="preserve">De nos jours, force est de constater que les automobiles sont plus durables que dans les années 1970 et 1980. Cette augmentation de la qualité semble avoir été accompagnée d’une augmentation de la garantie </w:t>
            </w:r>
            <w:r w:rsidR="00FF4501">
              <w:rPr>
                <w:rFonts w:cs="Arial"/>
                <w:sz w:val="20"/>
                <w:szCs w:val="22"/>
              </w:rPr>
              <w:t xml:space="preserve">de base </w:t>
            </w:r>
            <w:r>
              <w:rPr>
                <w:rFonts w:cs="Arial"/>
                <w:sz w:val="20"/>
                <w:szCs w:val="22"/>
              </w:rPr>
              <w:t>des fabricants d’automobiles. En effet, au</w:t>
            </w:r>
            <w:r w:rsidR="00FF4501">
              <w:rPr>
                <w:rFonts w:cs="Arial"/>
                <w:sz w:val="20"/>
                <w:szCs w:val="22"/>
              </w:rPr>
              <w:t xml:space="preserve">jourd’hui, tous les grands fabricants semblent offrir une garantie de base d’une durée d’au moins trois ans ou 60 000 km. Ainsi, seules quelques automobiles de la catégorie C sont garanties véritablement par le commerçant d’automobiles d’occasion. </w:t>
            </w:r>
          </w:p>
          <w:p w:rsidR="002E21A5" w:rsidRDefault="002E21A5" w:rsidP="003B32C6">
            <w:pPr>
              <w:autoSpaceDE w:val="0"/>
              <w:autoSpaceDN w:val="0"/>
              <w:adjustRightInd w:val="0"/>
              <w:spacing w:before="120" w:after="120"/>
              <w:jc w:val="both"/>
              <w:rPr>
                <w:rFonts w:cs="Arial"/>
                <w:sz w:val="20"/>
                <w:szCs w:val="22"/>
              </w:rPr>
            </w:pPr>
            <w:r>
              <w:rPr>
                <w:rFonts w:cs="Arial"/>
                <w:sz w:val="20"/>
                <w:szCs w:val="22"/>
              </w:rPr>
              <w:t xml:space="preserve">Compte tenu de l’augmentation de la qualité des automobiles et du nouveau standard </w:t>
            </w:r>
            <w:r w:rsidR="00705348">
              <w:rPr>
                <w:rFonts w:cs="Arial"/>
                <w:sz w:val="20"/>
                <w:szCs w:val="22"/>
              </w:rPr>
              <w:t>pour la</w:t>
            </w:r>
            <w:r>
              <w:rPr>
                <w:rFonts w:cs="Arial"/>
                <w:sz w:val="20"/>
                <w:szCs w:val="22"/>
              </w:rPr>
              <w:t xml:space="preserve"> garantie de base du fabricant d’une automobile </w:t>
            </w:r>
            <w:r w:rsidR="00705348">
              <w:rPr>
                <w:rFonts w:cs="Arial"/>
                <w:sz w:val="20"/>
                <w:szCs w:val="22"/>
              </w:rPr>
              <w:t>(</w:t>
            </w:r>
            <w:r>
              <w:rPr>
                <w:rFonts w:cs="Arial"/>
                <w:sz w:val="20"/>
                <w:szCs w:val="22"/>
              </w:rPr>
              <w:t>trois ans ou 60 000 km</w:t>
            </w:r>
            <w:r w:rsidR="00705348">
              <w:rPr>
                <w:rFonts w:cs="Arial"/>
                <w:sz w:val="20"/>
                <w:szCs w:val="22"/>
              </w:rPr>
              <w:t>)</w:t>
            </w:r>
            <w:r>
              <w:rPr>
                <w:rFonts w:cs="Arial"/>
                <w:sz w:val="20"/>
                <w:szCs w:val="22"/>
              </w:rPr>
              <w:t>, l’article 160 de la LPC devrait être actualisé de façon à ce que le commerçant d’automobiles d’occasion soit tenu à une obligation proportionnelle à celle à laquelle il était tenu en 1980.</w:t>
            </w:r>
          </w:p>
          <w:p w:rsidR="00FF4501" w:rsidRPr="00DE42E6" w:rsidRDefault="00FF4501" w:rsidP="003B32C6">
            <w:pPr>
              <w:autoSpaceDE w:val="0"/>
              <w:autoSpaceDN w:val="0"/>
              <w:adjustRightInd w:val="0"/>
              <w:spacing w:before="120" w:after="120"/>
              <w:jc w:val="both"/>
              <w:rPr>
                <w:rFonts w:cs="Arial"/>
                <w:sz w:val="20"/>
                <w:szCs w:val="22"/>
              </w:rPr>
            </w:pPr>
          </w:p>
        </w:tc>
        <w:tc>
          <w:tcPr>
            <w:tcW w:w="6030" w:type="dxa"/>
          </w:tcPr>
          <w:p w:rsidR="003B32C6" w:rsidRDefault="003B32C6" w:rsidP="003B32C6">
            <w:pPr>
              <w:autoSpaceDE w:val="0"/>
              <w:autoSpaceDN w:val="0"/>
              <w:adjustRightInd w:val="0"/>
              <w:spacing w:before="120" w:after="120"/>
              <w:jc w:val="both"/>
              <w:rPr>
                <w:rFonts w:cs="Arial"/>
                <w:sz w:val="20"/>
                <w:szCs w:val="22"/>
              </w:rPr>
            </w:pPr>
            <w:bookmarkStart w:id="2" w:name="_Toc371682858"/>
            <w:r w:rsidRPr="00082EFD">
              <w:rPr>
                <w:rFonts w:cs="Arial"/>
                <w:sz w:val="20"/>
                <w:szCs w:val="22"/>
                <w:u w:val="single"/>
              </w:rPr>
              <w:t xml:space="preserve">Automobile d'occasion </w:t>
            </w:r>
            <w:r>
              <w:rPr>
                <w:rFonts w:cs="Arial"/>
                <w:sz w:val="20"/>
                <w:szCs w:val="22"/>
                <w:u w:val="single"/>
              </w:rPr>
              <w:t>–</w:t>
            </w:r>
            <w:r w:rsidR="00DC263D">
              <w:rPr>
                <w:rFonts w:cs="Arial"/>
                <w:sz w:val="20"/>
                <w:szCs w:val="22"/>
                <w:u w:val="single"/>
              </w:rPr>
              <w:t xml:space="preserve"> catégories de</w:t>
            </w:r>
            <w:r w:rsidRPr="00082EFD">
              <w:rPr>
                <w:rFonts w:cs="Arial"/>
                <w:sz w:val="20"/>
                <w:szCs w:val="22"/>
                <w:u w:val="single"/>
              </w:rPr>
              <w:t xml:space="preserve"> garantie</w:t>
            </w:r>
            <w:bookmarkEnd w:id="2"/>
            <w:r w:rsidR="00DC263D">
              <w:rPr>
                <w:rFonts w:cs="Arial"/>
                <w:sz w:val="20"/>
                <w:szCs w:val="22"/>
                <w:u w:val="single"/>
              </w:rPr>
              <w:t>s</w:t>
            </w:r>
            <w:r w:rsidR="00B950BC">
              <w:rPr>
                <w:rFonts w:cs="Arial"/>
                <w:sz w:val="20"/>
                <w:szCs w:val="22"/>
                <w:u w:val="single"/>
              </w:rPr>
              <w:t xml:space="preserve"> de bon fonctionnement</w:t>
            </w:r>
            <w:r w:rsidRPr="00082EFD">
              <w:rPr>
                <w:rFonts w:cs="Arial"/>
                <w:sz w:val="20"/>
                <w:szCs w:val="22"/>
              </w:rPr>
              <w:t> :</w:t>
            </w:r>
            <w:r>
              <w:rPr>
                <w:rFonts w:cs="Arial"/>
                <w:sz w:val="20"/>
                <w:szCs w:val="22"/>
              </w:rPr>
              <w:t xml:space="preserve"> </w:t>
            </w:r>
            <w:r w:rsidR="00D715FE">
              <w:rPr>
                <w:rFonts w:cs="Arial"/>
                <w:sz w:val="20"/>
                <w:szCs w:val="22"/>
              </w:rPr>
              <w:t>modifier l’article 160 LPC</w:t>
            </w:r>
            <w:r w:rsidR="00B950BC">
              <w:rPr>
                <w:rFonts w:cs="Arial"/>
                <w:sz w:val="20"/>
                <w:szCs w:val="22"/>
              </w:rPr>
              <w:t>,</w:t>
            </w:r>
            <w:r w:rsidR="00D715FE">
              <w:rPr>
                <w:rFonts w:cs="Arial"/>
                <w:sz w:val="20"/>
                <w:szCs w:val="22"/>
              </w:rPr>
              <w:t xml:space="preserve"> qui établit les catégories d’automobiles</w:t>
            </w:r>
            <w:r w:rsidR="00B950BC">
              <w:rPr>
                <w:rFonts w:cs="Arial"/>
                <w:sz w:val="20"/>
                <w:szCs w:val="22"/>
              </w:rPr>
              <w:t xml:space="preserve"> d’occasion</w:t>
            </w:r>
            <w:r w:rsidR="00D715FE">
              <w:rPr>
                <w:rFonts w:cs="Arial"/>
                <w:sz w:val="20"/>
                <w:szCs w:val="22"/>
              </w:rPr>
              <w:t xml:space="preserve"> </w:t>
            </w:r>
            <w:r w:rsidR="00B950BC">
              <w:rPr>
                <w:rFonts w:cs="Arial"/>
                <w:sz w:val="20"/>
                <w:szCs w:val="22"/>
              </w:rPr>
              <w:t>auxquelles s’appliquent les différentes garanties légales de bon fonctionnement prévues à l’article 159 LPC, de la façon suivante :</w:t>
            </w:r>
          </w:p>
          <w:p w:rsidR="00D715FE" w:rsidRDefault="00D715FE" w:rsidP="003B32C6">
            <w:pPr>
              <w:autoSpaceDE w:val="0"/>
              <w:autoSpaceDN w:val="0"/>
              <w:adjustRightInd w:val="0"/>
              <w:spacing w:before="120" w:after="120"/>
              <w:jc w:val="both"/>
              <w:rPr>
                <w:rFonts w:cs="Arial"/>
                <w:sz w:val="20"/>
                <w:szCs w:val="22"/>
              </w:rPr>
            </w:pPr>
            <w:r>
              <w:rPr>
                <w:rFonts w:cs="Arial"/>
                <w:sz w:val="20"/>
                <w:szCs w:val="22"/>
              </w:rPr>
              <w:t>Nouvelles c</w:t>
            </w:r>
            <w:r w:rsidRPr="00D715FE">
              <w:rPr>
                <w:rFonts w:cs="Arial"/>
                <w:sz w:val="20"/>
                <w:szCs w:val="22"/>
              </w:rPr>
              <w:t>atégories de garanties de bon fonctionnement</w:t>
            </w:r>
            <w:r>
              <w:rPr>
                <w:rFonts w:cs="Arial"/>
                <w:sz w:val="20"/>
                <w:szCs w:val="22"/>
              </w:rPr>
              <w:t> :</w:t>
            </w:r>
          </w:p>
          <w:tbl>
            <w:tblPr>
              <w:tblStyle w:val="Grilledutableau"/>
              <w:tblW w:w="0" w:type="auto"/>
              <w:tblLayout w:type="fixed"/>
              <w:tblLook w:val="04A0" w:firstRow="1" w:lastRow="0" w:firstColumn="1" w:lastColumn="0" w:noHBand="0" w:noVBand="1"/>
            </w:tblPr>
            <w:tblGrid>
              <w:gridCol w:w="1327"/>
              <w:gridCol w:w="4477"/>
            </w:tblGrid>
            <w:tr w:rsidR="00D715FE" w:rsidTr="00D715FE">
              <w:tc>
                <w:tcPr>
                  <w:tcW w:w="1327" w:type="dxa"/>
                </w:tcPr>
                <w:p w:rsidR="00D715FE" w:rsidRPr="00D715FE" w:rsidRDefault="00D715FE" w:rsidP="00D715FE">
                  <w:pPr>
                    <w:autoSpaceDE w:val="0"/>
                    <w:autoSpaceDN w:val="0"/>
                    <w:adjustRightInd w:val="0"/>
                    <w:spacing w:before="120" w:after="120"/>
                    <w:jc w:val="center"/>
                    <w:rPr>
                      <w:rFonts w:cs="Arial"/>
                      <w:b/>
                      <w:sz w:val="20"/>
                      <w:szCs w:val="22"/>
                    </w:rPr>
                  </w:pPr>
                  <w:r w:rsidRPr="00D715FE">
                    <w:rPr>
                      <w:rFonts w:cs="Arial"/>
                      <w:b/>
                      <w:sz w:val="20"/>
                      <w:szCs w:val="22"/>
                    </w:rPr>
                    <w:t>Catégorie</w:t>
                  </w:r>
                </w:p>
              </w:tc>
              <w:tc>
                <w:tcPr>
                  <w:tcW w:w="4477" w:type="dxa"/>
                </w:tcPr>
                <w:p w:rsidR="00D715FE" w:rsidRPr="00D715FE" w:rsidRDefault="00D715FE" w:rsidP="00D715FE">
                  <w:pPr>
                    <w:autoSpaceDE w:val="0"/>
                    <w:autoSpaceDN w:val="0"/>
                    <w:adjustRightInd w:val="0"/>
                    <w:spacing w:before="120" w:after="120"/>
                    <w:jc w:val="center"/>
                    <w:rPr>
                      <w:rFonts w:cs="Arial"/>
                      <w:b/>
                      <w:sz w:val="20"/>
                      <w:szCs w:val="22"/>
                    </w:rPr>
                  </w:pPr>
                  <w:r w:rsidRPr="00D715FE">
                    <w:rPr>
                      <w:rFonts w:cs="Arial"/>
                      <w:b/>
                      <w:sz w:val="20"/>
                      <w:szCs w:val="22"/>
                    </w:rPr>
                    <w:t>Mise en marché de l’automobile et kilométrage</w:t>
                  </w:r>
                </w:p>
              </w:tc>
            </w:tr>
            <w:tr w:rsidR="00D715FE" w:rsidTr="00D715FE">
              <w:tc>
                <w:tcPr>
                  <w:tcW w:w="1327" w:type="dxa"/>
                </w:tcPr>
                <w:p w:rsidR="00D715FE" w:rsidRPr="00D715FE" w:rsidRDefault="00D715FE" w:rsidP="00D715FE">
                  <w:pPr>
                    <w:autoSpaceDE w:val="0"/>
                    <w:autoSpaceDN w:val="0"/>
                    <w:adjustRightInd w:val="0"/>
                    <w:spacing w:before="120" w:after="120"/>
                    <w:jc w:val="center"/>
                    <w:rPr>
                      <w:rFonts w:cs="Arial"/>
                      <w:sz w:val="20"/>
                      <w:szCs w:val="22"/>
                    </w:rPr>
                  </w:pPr>
                  <w:r w:rsidRPr="00D715FE">
                    <w:rPr>
                      <w:rFonts w:cs="Arial"/>
                      <w:sz w:val="20"/>
                      <w:szCs w:val="22"/>
                    </w:rPr>
                    <w:t>A</w:t>
                  </w:r>
                </w:p>
              </w:tc>
              <w:tc>
                <w:tcPr>
                  <w:tcW w:w="4477" w:type="dxa"/>
                </w:tcPr>
                <w:p w:rsidR="00D715FE" w:rsidRPr="00D715FE" w:rsidRDefault="00D715FE" w:rsidP="00D715FE">
                  <w:pPr>
                    <w:autoSpaceDE w:val="0"/>
                    <w:autoSpaceDN w:val="0"/>
                    <w:adjustRightInd w:val="0"/>
                    <w:spacing w:before="120" w:after="120"/>
                    <w:jc w:val="both"/>
                    <w:rPr>
                      <w:rFonts w:cs="Arial"/>
                      <w:sz w:val="20"/>
                      <w:szCs w:val="22"/>
                    </w:rPr>
                  </w:pPr>
                  <w:r>
                    <w:rPr>
                      <w:rFonts w:cs="Arial"/>
                      <w:sz w:val="20"/>
                      <w:szCs w:val="22"/>
                    </w:rPr>
                    <w:t>4</w:t>
                  </w:r>
                  <w:r w:rsidRPr="00D715FE">
                    <w:rPr>
                      <w:rFonts w:cs="Arial"/>
                      <w:sz w:val="20"/>
                      <w:szCs w:val="22"/>
                    </w:rPr>
                    <w:t xml:space="preserve"> ans ou moins, pourvu que l'auto ait moins</w:t>
                  </w:r>
                  <w:r>
                    <w:rPr>
                      <w:rFonts w:cs="Arial"/>
                      <w:sz w:val="20"/>
                      <w:szCs w:val="22"/>
                    </w:rPr>
                    <w:t xml:space="preserve"> de 8</w:t>
                  </w:r>
                  <w:r w:rsidRPr="00D715FE">
                    <w:rPr>
                      <w:rFonts w:cs="Arial"/>
                      <w:sz w:val="20"/>
                      <w:szCs w:val="22"/>
                    </w:rPr>
                    <w:t>0 000 km</w:t>
                  </w:r>
                  <w:r w:rsidR="0066148F">
                    <w:rPr>
                      <w:rFonts w:cs="Arial"/>
                      <w:sz w:val="20"/>
                      <w:szCs w:val="22"/>
                    </w:rPr>
                    <w:t xml:space="preserve"> </w:t>
                  </w:r>
                </w:p>
              </w:tc>
            </w:tr>
            <w:tr w:rsidR="00D715FE" w:rsidTr="00D715FE">
              <w:tc>
                <w:tcPr>
                  <w:tcW w:w="1327" w:type="dxa"/>
                </w:tcPr>
                <w:p w:rsidR="00D715FE" w:rsidRPr="00D715FE" w:rsidRDefault="00D715FE" w:rsidP="00D715FE">
                  <w:pPr>
                    <w:autoSpaceDE w:val="0"/>
                    <w:autoSpaceDN w:val="0"/>
                    <w:adjustRightInd w:val="0"/>
                    <w:spacing w:before="120" w:after="120"/>
                    <w:jc w:val="center"/>
                    <w:rPr>
                      <w:rFonts w:cs="Arial"/>
                      <w:sz w:val="20"/>
                      <w:szCs w:val="22"/>
                    </w:rPr>
                  </w:pPr>
                  <w:r w:rsidRPr="00D715FE">
                    <w:rPr>
                      <w:rFonts w:cs="Arial"/>
                      <w:sz w:val="20"/>
                      <w:szCs w:val="22"/>
                    </w:rPr>
                    <w:t>B</w:t>
                  </w:r>
                </w:p>
              </w:tc>
              <w:tc>
                <w:tcPr>
                  <w:tcW w:w="4477" w:type="dxa"/>
                </w:tcPr>
                <w:p w:rsidR="00D715FE" w:rsidRPr="00D715FE" w:rsidRDefault="00D715FE" w:rsidP="00D715FE">
                  <w:pPr>
                    <w:autoSpaceDE w:val="0"/>
                    <w:autoSpaceDN w:val="0"/>
                    <w:adjustRightInd w:val="0"/>
                    <w:spacing w:before="120" w:after="120"/>
                    <w:jc w:val="both"/>
                    <w:rPr>
                      <w:rFonts w:cs="Arial"/>
                      <w:sz w:val="20"/>
                      <w:szCs w:val="22"/>
                    </w:rPr>
                  </w:pPr>
                  <w:r>
                    <w:rPr>
                      <w:rFonts w:cs="Arial"/>
                      <w:sz w:val="20"/>
                      <w:szCs w:val="22"/>
                    </w:rPr>
                    <w:t>5 an</w:t>
                  </w:r>
                  <w:r w:rsidRPr="00D715FE">
                    <w:rPr>
                      <w:rFonts w:cs="Arial"/>
                      <w:sz w:val="20"/>
                      <w:szCs w:val="22"/>
                    </w:rPr>
                    <w:t>s ou moins, p</w:t>
                  </w:r>
                  <w:r>
                    <w:rPr>
                      <w:rFonts w:cs="Arial"/>
                      <w:sz w:val="20"/>
                      <w:szCs w:val="22"/>
                    </w:rPr>
                    <w:t>ourvu que l'auto ait moins de 100</w:t>
                  </w:r>
                  <w:r w:rsidRPr="00D715FE">
                    <w:rPr>
                      <w:rFonts w:cs="Arial"/>
                      <w:sz w:val="20"/>
                      <w:szCs w:val="22"/>
                    </w:rPr>
                    <w:t xml:space="preserve"> 000 km</w:t>
                  </w:r>
                </w:p>
              </w:tc>
            </w:tr>
            <w:tr w:rsidR="00D715FE" w:rsidTr="00D715FE">
              <w:tc>
                <w:tcPr>
                  <w:tcW w:w="1327" w:type="dxa"/>
                </w:tcPr>
                <w:p w:rsidR="00D715FE" w:rsidRPr="00D715FE" w:rsidRDefault="00D715FE" w:rsidP="00D715FE">
                  <w:pPr>
                    <w:autoSpaceDE w:val="0"/>
                    <w:autoSpaceDN w:val="0"/>
                    <w:adjustRightInd w:val="0"/>
                    <w:spacing w:before="120" w:after="120"/>
                    <w:jc w:val="center"/>
                    <w:rPr>
                      <w:rFonts w:cs="Arial"/>
                      <w:sz w:val="20"/>
                      <w:szCs w:val="22"/>
                    </w:rPr>
                  </w:pPr>
                  <w:r w:rsidRPr="00D715FE">
                    <w:rPr>
                      <w:rFonts w:cs="Arial"/>
                      <w:sz w:val="20"/>
                      <w:szCs w:val="22"/>
                    </w:rPr>
                    <w:t>C</w:t>
                  </w:r>
                </w:p>
              </w:tc>
              <w:tc>
                <w:tcPr>
                  <w:tcW w:w="4477" w:type="dxa"/>
                </w:tcPr>
                <w:p w:rsidR="00D715FE" w:rsidRPr="00D715FE" w:rsidRDefault="00D715FE" w:rsidP="00D715FE">
                  <w:pPr>
                    <w:autoSpaceDE w:val="0"/>
                    <w:autoSpaceDN w:val="0"/>
                    <w:adjustRightInd w:val="0"/>
                    <w:spacing w:before="120" w:after="120"/>
                    <w:jc w:val="both"/>
                    <w:rPr>
                      <w:rFonts w:cs="Arial"/>
                      <w:sz w:val="20"/>
                      <w:szCs w:val="22"/>
                    </w:rPr>
                  </w:pPr>
                  <w:r>
                    <w:rPr>
                      <w:rFonts w:cs="Arial"/>
                      <w:sz w:val="20"/>
                      <w:szCs w:val="22"/>
                    </w:rPr>
                    <w:t>7</w:t>
                  </w:r>
                  <w:r w:rsidRPr="00D715FE">
                    <w:rPr>
                      <w:rFonts w:cs="Arial"/>
                      <w:sz w:val="20"/>
                      <w:szCs w:val="22"/>
                    </w:rPr>
                    <w:t xml:space="preserve"> ans ou moins, </w:t>
                  </w:r>
                  <w:r>
                    <w:rPr>
                      <w:rFonts w:cs="Arial"/>
                      <w:sz w:val="20"/>
                      <w:szCs w:val="22"/>
                    </w:rPr>
                    <w:t>pourvu que l'auto ait moins de 12</w:t>
                  </w:r>
                  <w:r w:rsidRPr="00D715FE">
                    <w:rPr>
                      <w:rFonts w:cs="Arial"/>
                      <w:sz w:val="20"/>
                      <w:szCs w:val="22"/>
                    </w:rPr>
                    <w:t>0 000 km</w:t>
                  </w:r>
                </w:p>
              </w:tc>
            </w:tr>
          </w:tbl>
          <w:p w:rsidR="00D715FE" w:rsidRPr="00082EFD" w:rsidRDefault="00D715FE" w:rsidP="003B32C6">
            <w:pPr>
              <w:autoSpaceDE w:val="0"/>
              <w:autoSpaceDN w:val="0"/>
              <w:adjustRightInd w:val="0"/>
              <w:spacing w:before="120" w:after="120"/>
              <w:jc w:val="both"/>
              <w:rPr>
                <w:rFonts w:cs="Arial"/>
                <w:sz w:val="20"/>
                <w:szCs w:val="22"/>
                <w:u w:val="single"/>
              </w:rPr>
            </w:pPr>
          </w:p>
        </w:tc>
        <w:tc>
          <w:tcPr>
            <w:tcW w:w="5130" w:type="dxa"/>
          </w:tcPr>
          <w:p w:rsidR="003B32C6" w:rsidRPr="00DE444C" w:rsidRDefault="003B32C6" w:rsidP="003B32C6">
            <w:pPr>
              <w:spacing w:before="120" w:after="120"/>
              <w:jc w:val="both"/>
              <w:rPr>
                <w:rFonts w:cs="Arial"/>
                <w:sz w:val="20"/>
                <w:szCs w:val="22"/>
              </w:rPr>
            </w:pPr>
          </w:p>
        </w:tc>
      </w:tr>
      <w:tr w:rsidR="003B32C6" w:rsidRPr="00434009" w:rsidTr="003874AD">
        <w:tblPrEx>
          <w:jc w:val="left"/>
        </w:tblPrEx>
        <w:trPr>
          <w:gridAfter w:val="1"/>
          <w:wAfter w:w="10" w:type="dxa"/>
        </w:trPr>
        <w:tc>
          <w:tcPr>
            <w:tcW w:w="715" w:type="dxa"/>
            <w:vAlign w:val="center"/>
          </w:tcPr>
          <w:p w:rsidR="003B32C6" w:rsidRDefault="003B32C6" w:rsidP="003B32C6">
            <w:pPr>
              <w:spacing w:before="120"/>
              <w:jc w:val="center"/>
              <w:rPr>
                <w:rFonts w:cs="Arial"/>
                <w:sz w:val="20"/>
                <w:szCs w:val="22"/>
              </w:rPr>
            </w:pPr>
            <w:r>
              <w:rPr>
                <w:rFonts w:cs="Arial"/>
                <w:sz w:val="20"/>
                <w:szCs w:val="22"/>
              </w:rPr>
              <w:lastRenderedPageBreak/>
              <w:t>26</w:t>
            </w:r>
          </w:p>
        </w:tc>
        <w:tc>
          <w:tcPr>
            <w:tcW w:w="1260" w:type="dxa"/>
            <w:vAlign w:val="center"/>
          </w:tcPr>
          <w:p w:rsidR="003B32C6" w:rsidRPr="00A74528" w:rsidRDefault="003B32C6" w:rsidP="003B32C6">
            <w:pPr>
              <w:pStyle w:val="Paragraphedeliste"/>
              <w:autoSpaceDE w:val="0"/>
              <w:autoSpaceDN w:val="0"/>
              <w:adjustRightInd w:val="0"/>
              <w:spacing w:before="120"/>
              <w:ind w:left="0"/>
              <w:contextualSpacing w:val="0"/>
              <w:jc w:val="center"/>
              <w:rPr>
                <w:rFonts w:cs="Arial"/>
                <w:sz w:val="20"/>
                <w:szCs w:val="22"/>
                <w:highlight w:val="green"/>
              </w:rPr>
            </w:pPr>
            <w:r w:rsidRPr="000A5846">
              <w:rPr>
                <w:rFonts w:cs="Arial"/>
                <w:sz w:val="20"/>
                <w:szCs w:val="22"/>
              </w:rPr>
              <w:t>228.1 LPC</w:t>
            </w:r>
          </w:p>
        </w:tc>
        <w:tc>
          <w:tcPr>
            <w:tcW w:w="6300" w:type="dxa"/>
          </w:tcPr>
          <w:p w:rsidR="003B32C6" w:rsidRPr="00082EFD" w:rsidRDefault="003B32C6" w:rsidP="003B32C6">
            <w:pPr>
              <w:autoSpaceDE w:val="0"/>
              <w:autoSpaceDN w:val="0"/>
              <w:adjustRightInd w:val="0"/>
              <w:spacing w:before="120" w:after="120"/>
              <w:jc w:val="both"/>
              <w:rPr>
                <w:rFonts w:cs="Arial"/>
                <w:sz w:val="20"/>
                <w:szCs w:val="22"/>
              </w:rPr>
            </w:pPr>
            <w:r w:rsidRPr="000C687E">
              <w:rPr>
                <w:rFonts w:cs="Arial"/>
                <w:sz w:val="20"/>
                <w:szCs w:val="22"/>
              </w:rPr>
              <w:t>Avant de proposer de conclure, à titre onéreux, un contrat comprenant une garantie supplémentaire au consommateur, le commerçant devrait avoir</w:t>
            </w:r>
            <w:r>
              <w:rPr>
                <w:rFonts w:cs="Arial"/>
                <w:sz w:val="20"/>
                <w:szCs w:val="22"/>
              </w:rPr>
              <w:t xml:space="preserve"> aussi</w:t>
            </w:r>
            <w:r w:rsidRPr="000C687E">
              <w:rPr>
                <w:rFonts w:cs="Arial"/>
                <w:sz w:val="20"/>
                <w:szCs w:val="22"/>
              </w:rPr>
              <w:t xml:space="preserve"> l’obligation de divulguer la garantie légale de l’article 159 de la LPC pour une automobile d’occasion et de l’article 164 po</w:t>
            </w:r>
            <w:r>
              <w:rPr>
                <w:rFonts w:cs="Arial"/>
                <w:sz w:val="20"/>
                <w:szCs w:val="22"/>
              </w:rPr>
              <w:t>ur les motocyclettes d’occasion.</w:t>
            </w:r>
          </w:p>
        </w:tc>
        <w:tc>
          <w:tcPr>
            <w:tcW w:w="6030" w:type="dxa"/>
          </w:tcPr>
          <w:p w:rsidR="003B32C6" w:rsidRPr="000C687E" w:rsidRDefault="003B32C6" w:rsidP="003B32C6">
            <w:pPr>
              <w:autoSpaceDE w:val="0"/>
              <w:autoSpaceDN w:val="0"/>
              <w:adjustRightInd w:val="0"/>
              <w:spacing w:before="120" w:after="120"/>
              <w:jc w:val="both"/>
              <w:rPr>
                <w:rFonts w:cs="Arial"/>
                <w:sz w:val="20"/>
                <w:szCs w:val="22"/>
              </w:rPr>
            </w:pPr>
            <w:r w:rsidRPr="000C687E">
              <w:rPr>
                <w:rFonts w:cs="Arial"/>
                <w:sz w:val="20"/>
                <w:szCs w:val="22"/>
                <w:u w:val="single"/>
              </w:rPr>
              <w:t>Information avant de proposer une garantie supplémentaire</w:t>
            </w:r>
            <w:r>
              <w:rPr>
                <w:rFonts w:cs="Arial"/>
                <w:sz w:val="20"/>
                <w:szCs w:val="22"/>
              </w:rPr>
              <w:t> : m</w:t>
            </w:r>
            <w:r w:rsidRPr="000C687E">
              <w:rPr>
                <w:rFonts w:cs="Arial"/>
                <w:sz w:val="20"/>
                <w:szCs w:val="22"/>
              </w:rPr>
              <w:t>odifier l’article 228.1 de la LPC de manière à obliger le commerçant à divulguer la garantie légale de l’article 159 de la LPC pour une automobile d’occasion et de l’article 164 pour les motocyclettes d’occasion.</w:t>
            </w:r>
          </w:p>
        </w:tc>
        <w:tc>
          <w:tcPr>
            <w:tcW w:w="5130" w:type="dxa"/>
          </w:tcPr>
          <w:p w:rsidR="003B32C6" w:rsidRPr="00DE444C" w:rsidRDefault="003B32C6" w:rsidP="003B32C6">
            <w:pPr>
              <w:spacing w:before="120" w:after="120"/>
              <w:jc w:val="both"/>
              <w:rPr>
                <w:rFonts w:cs="Arial"/>
                <w:sz w:val="20"/>
                <w:szCs w:val="22"/>
              </w:rPr>
            </w:pPr>
          </w:p>
        </w:tc>
      </w:tr>
      <w:tr w:rsidR="002924B3" w:rsidRPr="00434009" w:rsidTr="003874AD">
        <w:tblPrEx>
          <w:jc w:val="left"/>
        </w:tblPrEx>
        <w:trPr>
          <w:gridAfter w:val="1"/>
          <w:wAfter w:w="10" w:type="dxa"/>
        </w:trPr>
        <w:tc>
          <w:tcPr>
            <w:tcW w:w="715" w:type="dxa"/>
            <w:vAlign w:val="center"/>
          </w:tcPr>
          <w:p w:rsidR="002924B3" w:rsidRDefault="002924B3" w:rsidP="00BA0496">
            <w:pPr>
              <w:spacing w:before="120"/>
              <w:jc w:val="center"/>
              <w:rPr>
                <w:rFonts w:cs="Arial"/>
                <w:sz w:val="20"/>
                <w:szCs w:val="22"/>
              </w:rPr>
            </w:pPr>
          </w:p>
        </w:tc>
        <w:tc>
          <w:tcPr>
            <w:tcW w:w="1260" w:type="dxa"/>
            <w:vAlign w:val="center"/>
          </w:tcPr>
          <w:p w:rsidR="002924B3" w:rsidRDefault="002924B3" w:rsidP="00BA0496">
            <w:pPr>
              <w:spacing w:before="120"/>
              <w:jc w:val="center"/>
              <w:rPr>
                <w:rFonts w:cs="Arial"/>
                <w:sz w:val="20"/>
                <w:szCs w:val="22"/>
              </w:rPr>
            </w:pPr>
          </w:p>
        </w:tc>
        <w:tc>
          <w:tcPr>
            <w:tcW w:w="6300" w:type="dxa"/>
          </w:tcPr>
          <w:p w:rsidR="002924B3" w:rsidRDefault="002924B3" w:rsidP="00915D53">
            <w:pPr>
              <w:spacing w:before="120" w:after="120"/>
              <w:jc w:val="both"/>
              <w:rPr>
                <w:rFonts w:cs="Arial"/>
                <w:bCs/>
                <w:sz w:val="20"/>
                <w:szCs w:val="22"/>
              </w:rPr>
            </w:pPr>
          </w:p>
        </w:tc>
        <w:tc>
          <w:tcPr>
            <w:tcW w:w="6030" w:type="dxa"/>
          </w:tcPr>
          <w:p w:rsidR="002924B3" w:rsidRPr="000C5894" w:rsidRDefault="002924B3" w:rsidP="000C5894">
            <w:pPr>
              <w:spacing w:before="120" w:after="120"/>
              <w:jc w:val="both"/>
              <w:rPr>
                <w:rFonts w:cs="Arial"/>
                <w:sz w:val="20"/>
                <w:szCs w:val="22"/>
              </w:rPr>
            </w:pPr>
          </w:p>
        </w:tc>
        <w:tc>
          <w:tcPr>
            <w:tcW w:w="5130" w:type="dxa"/>
          </w:tcPr>
          <w:p w:rsidR="002924B3" w:rsidRPr="00DE444C" w:rsidRDefault="002924B3" w:rsidP="00BA0496">
            <w:pPr>
              <w:spacing w:before="120" w:after="120"/>
              <w:jc w:val="both"/>
              <w:rPr>
                <w:rFonts w:cs="Arial"/>
                <w:sz w:val="20"/>
                <w:szCs w:val="22"/>
              </w:rPr>
            </w:pPr>
          </w:p>
        </w:tc>
      </w:tr>
      <w:tr w:rsidR="002924B3" w:rsidRPr="00434009" w:rsidTr="003874AD">
        <w:tblPrEx>
          <w:jc w:val="left"/>
        </w:tblPrEx>
        <w:trPr>
          <w:gridAfter w:val="1"/>
          <w:wAfter w:w="10" w:type="dxa"/>
        </w:trPr>
        <w:tc>
          <w:tcPr>
            <w:tcW w:w="715" w:type="dxa"/>
            <w:vAlign w:val="center"/>
          </w:tcPr>
          <w:p w:rsidR="002924B3" w:rsidRDefault="002924B3" w:rsidP="00BA0496">
            <w:pPr>
              <w:spacing w:before="120"/>
              <w:jc w:val="center"/>
              <w:rPr>
                <w:rFonts w:cs="Arial"/>
                <w:sz w:val="20"/>
                <w:szCs w:val="22"/>
              </w:rPr>
            </w:pPr>
          </w:p>
        </w:tc>
        <w:tc>
          <w:tcPr>
            <w:tcW w:w="1260" w:type="dxa"/>
            <w:vAlign w:val="center"/>
          </w:tcPr>
          <w:p w:rsidR="002924B3" w:rsidRDefault="002924B3" w:rsidP="00BA0496">
            <w:pPr>
              <w:spacing w:before="120"/>
              <w:jc w:val="center"/>
              <w:rPr>
                <w:rFonts w:cs="Arial"/>
                <w:sz w:val="20"/>
                <w:szCs w:val="22"/>
              </w:rPr>
            </w:pPr>
          </w:p>
        </w:tc>
        <w:tc>
          <w:tcPr>
            <w:tcW w:w="6300" w:type="dxa"/>
          </w:tcPr>
          <w:p w:rsidR="002924B3" w:rsidRDefault="002924B3" w:rsidP="00915D53">
            <w:pPr>
              <w:spacing w:before="120" w:after="120"/>
              <w:jc w:val="both"/>
              <w:rPr>
                <w:rFonts w:cs="Arial"/>
                <w:bCs/>
                <w:sz w:val="20"/>
                <w:szCs w:val="22"/>
              </w:rPr>
            </w:pPr>
          </w:p>
        </w:tc>
        <w:tc>
          <w:tcPr>
            <w:tcW w:w="6030" w:type="dxa"/>
          </w:tcPr>
          <w:p w:rsidR="002924B3" w:rsidRPr="000C5894" w:rsidRDefault="002924B3" w:rsidP="000C5894">
            <w:pPr>
              <w:spacing w:before="120" w:after="120"/>
              <w:jc w:val="both"/>
              <w:rPr>
                <w:rFonts w:cs="Arial"/>
                <w:sz w:val="20"/>
                <w:szCs w:val="22"/>
              </w:rPr>
            </w:pPr>
          </w:p>
        </w:tc>
        <w:tc>
          <w:tcPr>
            <w:tcW w:w="5130" w:type="dxa"/>
          </w:tcPr>
          <w:p w:rsidR="002924B3" w:rsidRPr="00DE444C" w:rsidRDefault="002924B3" w:rsidP="00BA0496">
            <w:pPr>
              <w:spacing w:before="120" w:after="120"/>
              <w:jc w:val="both"/>
              <w:rPr>
                <w:rFonts w:cs="Arial"/>
                <w:sz w:val="20"/>
                <w:szCs w:val="22"/>
              </w:rPr>
            </w:pPr>
          </w:p>
        </w:tc>
      </w:tr>
    </w:tbl>
    <w:p w:rsidR="00B16F5B" w:rsidRDefault="00B16F5B" w:rsidP="00B16F5B">
      <w:pPr>
        <w:spacing w:before="120" w:after="120"/>
        <w:jc w:val="both"/>
        <w:rPr>
          <w:rFonts w:cs="Arial"/>
          <w:sz w:val="20"/>
          <w:szCs w:val="22"/>
        </w:rPr>
      </w:pPr>
    </w:p>
    <w:p w:rsidR="00B16F5B" w:rsidRPr="006819C9" w:rsidRDefault="00B16F5B" w:rsidP="00B16F5B">
      <w:pPr>
        <w:pStyle w:val="Titre2"/>
      </w:pPr>
      <w:bookmarkStart w:id="3" w:name="_Toc536006784"/>
      <w:r>
        <w:t>Pratiques affectant plus particulièrement les consommateurs plus vulnérables</w:t>
      </w:r>
      <w:bookmarkEnd w:id="3"/>
    </w:p>
    <w:tbl>
      <w:tblPr>
        <w:tblW w:w="196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260"/>
        <w:gridCol w:w="6480"/>
        <w:gridCol w:w="5850"/>
        <w:gridCol w:w="5400"/>
      </w:tblGrid>
      <w:tr w:rsidR="00B16F5B" w:rsidRPr="006819C9" w:rsidTr="00BA0496">
        <w:trPr>
          <w:trHeight w:val="978"/>
          <w:tblHeader/>
        </w:trPr>
        <w:tc>
          <w:tcPr>
            <w:tcW w:w="630" w:type="dxa"/>
            <w:shd w:val="clear" w:color="auto" w:fill="EEECE1" w:themeFill="background2"/>
            <w:vAlign w:val="center"/>
          </w:tcPr>
          <w:p w:rsidR="00B16F5B" w:rsidRPr="006819C9" w:rsidRDefault="00B16F5B" w:rsidP="00BA0496">
            <w:pPr>
              <w:spacing w:before="120"/>
              <w:jc w:val="center"/>
              <w:rPr>
                <w:rFonts w:cs="Arial"/>
                <w:b/>
                <w:bCs/>
                <w:sz w:val="20"/>
                <w:szCs w:val="22"/>
              </w:rPr>
            </w:pPr>
            <w:r>
              <w:rPr>
                <w:rFonts w:cs="Arial"/>
                <w:b/>
                <w:bCs/>
                <w:sz w:val="20"/>
                <w:szCs w:val="22"/>
              </w:rPr>
              <w:t>NO</w:t>
            </w:r>
          </w:p>
        </w:tc>
        <w:tc>
          <w:tcPr>
            <w:tcW w:w="1260" w:type="dxa"/>
            <w:shd w:val="clear" w:color="auto" w:fill="EEECE1" w:themeFill="background2"/>
            <w:vAlign w:val="center"/>
          </w:tcPr>
          <w:p w:rsidR="00B16F5B" w:rsidRPr="006819C9" w:rsidRDefault="00B16F5B" w:rsidP="00BA0496">
            <w:pPr>
              <w:spacing w:before="120"/>
              <w:jc w:val="center"/>
              <w:rPr>
                <w:rFonts w:cs="Arial"/>
                <w:b/>
                <w:bCs/>
                <w:sz w:val="20"/>
                <w:szCs w:val="22"/>
              </w:rPr>
            </w:pPr>
            <w:r w:rsidRPr="006819C9">
              <w:rPr>
                <w:rFonts w:cs="Arial"/>
                <w:b/>
                <w:bCs/>
                <w:sz w:val="20"/>
                <w:szCs w:val="22"/>
              </w:rPr>
              <w:t>ARTICLES</w:t>
            </w:r>
          </w:p>
        </w:tc>
        <w:tc>
          <w:tcPr>
            <w:tcW w:w="6480" w:type="dxa"/>
            <w:shd w:val="clear" w:color="auto" w:fill="EEECE1" w:themeFill="background2"/>
            <w:vAlign w:val="center"/>
          </w:tcPr>
          <w:p w:rsidR="00B16F5B" w:rsidRPr="006819C9" w:rsidRDefault="00B16F5B" w:rsidP="00BA0496">
            <w:pPr>
              <w:spacing w:before="120" w:after="120"/>
              <w:jc w:val="center"/>
              <w:rPr>
                <w:rFonts w:cs="Arial"/>
                <w:b/>
                <w:bCs/>
                <w:sz w:val="20"/>
                <w:szCs w:val="22"/>
              </w:rPr>
            </w:pPr>
            <w:r w:rsidRPr="006819C9">
              <w:rPr>
                <w:rFonts w:cs="Arial"/>
                <w:b/>
                <w:bCs/>
                <w:sz w:val="20"/>
                <w:szCs w:val="22"/>
              </w:rPr>
              <w:t>PROBLÉMATIQUE</w:t>
            </w:r>
          </w:p>
        </w:tc>
        <w:tc>
          <w:tcPr>
            <w:tcW w:w="5850" w:type="dxa"/>
            <w:shd w:val="clear" w:color="auto" w:fill="EEECE1" w:themeFill="background2"/>
            <w:vAlign w:val="center"/>
          </w:tcPr>
          <w:p w:rsidR="00B16F5B" w:rsidRPr="006819C9" w:rsidRDefault="00B16F5B" w:rsidP="00BA0496">
            <w:pPr>
              <w:spacing w:before="120" w:after="120"/>
              <w:jc w:val="center"/>
              <w:rPr>
                <w:rFonts w:cs="Arial"/>
                <w:b/>
                <w:bCs/>
                <w:sz w:val="20"/>
                <w:szCs w:val="22"/>
              </w:rPr>
            </w:pPr>
            <w:r>
              <w:rPr>
                <w:rFonts w:cs="Arial"/>
                <w:b/>
                <w:bCs/>
                <w:sz w:val="20"/>
                <w:szCs w:val="22"/>
              </w:rPr>
              <w:t>MESURE</w:t>
            </w:r>
          </w:p>
        </w:tc>
        <w:tc>
          <w:tcPr>
            <w:tcW w:w="5400" w:type="dxa"/>
            <w:shd w:val="clear" w:color="auto" w:fill="EEECE1" w:themeFill="background2"/>
            <w:vAlign w:val="center"/>
          </w:tcPr>
          <w:p w:rsidR="00B16F5B" w:rsidRDefault="00663A4D" w:rsidP="00BA0496">
            <w:pPr>
              <w:spacing w:before="120" w:after="120"/>
              <w:jc w:val="center"/>
              <w:rPr>
                <w:rFonts w:cs="Arial"/>
                <w:b/>
                <w:bCs/>
                <w:sz w:val="20"/>
                <w:szCs w:val="22"/>
              </w:rPr>
            </w:pPr>
            <w:r>
              <w:rPr>
                <w:rFonts w:cs="Arial"/>
                <w:b/>
                <w:bCs/>
                <w:sz w:val="20"/>
                <w:szCs w:val="22"/>
              </w:rPr>
              <w:t>COMMENTAIRES</w:t>
            </w:r>
          </w:p>
        </w:tc>
      </w:tr>
      <w:tr w:rsidR="00B16F5B" w:rsidRPr="006819C9" w:rsidTr="00B16F5B">
        <w:trPr>
          <w:trHeight w:val="1745"/>
        </w:trPr>
        <w:tc>
          <w:tcPr>
            <w:tcW w:w="630" w:type="dxa"/>
            <w:vAlign w:val="center"/>
          </w:tcPr>
          <w:p w:rsidR="00B16F5B" w:rsidRPr="007571C8" w:rsidRDefault="00D1080A" w:rsidP="007E337B">
            <w:pPr>
              <w:spacing w:before="120"/>
              <w:jc w:val="center"/>
              <w:rPr>
                <w:rFonts w:cs="Arial"/>
                <w:sz w:val="20"/>
                <w:szCs w:val="22"/>
              </w:rPr>
            </w:pPr>
            <w:r>
              <w:rPr>
                <w:rFonts w:cs="Arial"/>
                <w:sz w:val="20"/>
                <w:szCs w:val="22"/>
              </w:rPr>
              <w:t>2</w:t>
            </w:r>
            <w:r w:rsidR="003B32C6">
              <w:rPr>
                <w:rFonts w:cs="Arial"/>
                <w:sz w:val="20"/>
                <w:szCs w:val="22"/>
              </w:rPr>
              <w:t>7</w:t>
            </w:r>
          </w:p>
        </w:tc>
        <w:tc>
          <w:tcPr>
            <w:tcW w:w="1260" w:type="dxa"/>
            <w:vAlign w:val="center"/>
          </w:tcPr>
          <w:p w:rsidR="00B16F5B" w:rsidRPr="007571C8" w:rsidRDefault="00B16F5B" w:rsidP="00B16F5B">
            <w:pPr>
              <w:spacing w:before="120"/>
              <w:jc w:val="center"/>
              <w:rPr>
                <w:rFonts w:cs="Arial"/>
                <w:sz w:val="20"/>
                <w:szCs w:val="22"/>
              </w:rPr>
            </w:pPr>
            <w:r>
              <w:rPr>
                <w:rFonts w:cs="Arial"/>
                <w:sz w:val="20"/>
                <w:szCs w:val="22"/>
              </w:rPr>
              <w:t>245</w:t>
            </w:r>
            <w:proofErr w:type="gramStart"/>
            <w:r>
              <w:rPr>
                <w:rFonts w:cs="Arial"/>
                <w:sz w:val="20"/>
                <w:szCs w:val="22"/>
              </w:rPr>
              <w:t>.X</w:t>
            </w:r>
            <w:proofErr w:type="gramEnd"/>
            <w:r w:rsidRPr="007571C8">
              <w:rPr>
                <w:rFonts w:cs="Arial"/>
                <w:sz w:val="20"/>
                <w:szCs w:val="22"/>
              </w:rPr>
              <w:t xml:space="preserve"> LPC</w:t>
            </w:r>
          </w:p>
        </w:tc>
        <w:tc>
          <w:tcPr>
            <w:tcW w:w="6480" w:type="dxa"/>
          </w:tcPr>
          <w:p w:rsidR="00B16F5B" w:rsidRPr="00434009" w:rsidRDefault="00B16F5B" w:rsidP="00FC50D9">
            <w:pPr>
              <w:spacing w:before="120" w:after="120"/>
              <w:jc w:val="both"/>
              <w:rPr>
                <w:rFonts w:cs="Arial"/>
                <w:sz w:val="20"/>
                <w:szCs w:val="22"/>
              </w:rPr>
            </w:pPr>
            <w:r w:rsidRPr="00434009">
              <w:rPr>
                <w:rFonts w:cs="Arial"/>
                <w:sz w:val="20"/>
                <w:szCs w:val="22"/>
              </w:rPr>
              <w:t xml:space="preserve">Des cartes de crédit seraient émises à des personnes de moins de 18 ans, sans vérification du consentement des parents. </w:t>
            </w:r>
          </w:p>
        </w:tc>
        <w:tc>
          <w:tcPr>
            <w:tcW w:w="5850" w:type="dxa"/>
          </w:tcPr>
          <w:p w:rsidR="00B16F5B" w:rsidRPr="00434009" w:rsidRDefault="00B16F5B" w:rsidP="00B16F5B">
            <w:pPr>
              <w:spacing w:before="120" w:after="120"/>
              <w:jc w:val="both"/>
              <w:rPr>
                <w:rFonts w:cs="Arial"/>
                <w:sz w:val="20"/>
                <w:szCs w:val="22"/>
              </w:rPr>
            </w:pPr>
            <w:r>
              <w:rPr>
                <w:rFonts w:cs="Arial"/>
                <w:sz w:val="20"/>
                <w:szCs w:val="22"/>
                <w:u w:val="single"/>
              </w:rPr>
              <w:t>Contrats de crédit variable conclus avec des mineurs</w:t>
            </w:r>
            <w:r w:rsidRPr="00434009">
              <w:rPr>
                <w:rFonts w:cs="Arial"/>
                <w:sz w:val="20"/>
                <w:szCs w:val="22"/>
              </w:rPr>
              <w:t> : interdiction de conclure un contrat de crédit variable</w:t>
            </w:r>
            <w:r>
              <w:rPr>
                <w:rFonts w:cs="Arial"/>
                <w:sz w:val="20"/>
                <w:szCs w:val="22"/>
              </w:rPr>
              <w:t xml:space="preserve"> (ex : marge de crédit, carte de crédit)</w:t>
            </w:r>
            <w:r w:rsidRPr="00434009">
              <w:rPr>
                <w:rFonts w:cs="Arial"/>
                <w:sz w:val="20"/>
                <w:szCs w:val="22"/>
              </w:rPr>
              <w:t xml:space="preserve"> avec un consommateur mineur sans l’autorisation écrite d’un titulaire de l’autorité parentale.</w:t>
            </w:r>
          </w:p>
        </w:tc>
        <w:tc>
          <w:tcPr>
            <w:tcW w:w="5400" w:type="dxa"/>
          </w:tcPr>
          <w:p w:rsidR="00B16F5B" w:rsidRPr="00C83C05" w:rsidRDefault="00B16F5B" w:rsidP="00B16F5B">
            <w:pPr>
              <w:spacing w:before="120" w:after="120"/>
              <w:jc w:val="both"/>
              <w:rPr>
                <w:rFonts w:cs="Arial"/>
                <w:sz w:val="20"/>
                <w:szCs w:val="22"/>
              </w:rPr>
            </w:pPr>
          </w:p>
        </w:tc>
      </w:tr>
      <w:tr w:rsidR="00B16F5B" w:rsidRPr="006819C9" w:rsidTr="00B16F5B">
        <w:trPr>
          <w:trHeight w:val="1745"/>
        </w:trPr>
        <w:tc>
          <w:tcPr>
            <w:tcW w:w="630" w:type="dxa"/>
            <w:vAlign w:val="center"/>
          </w:tcPr>
          <w:p w:rsidR="00B16F5B" w:rsidRPr="007571C8" w:rsidRDefault="00D1080A" w:rsidP="00B16F5B">
            <w:pPr>
              <w:spacing w:before="120"/>
              <w:jc w:val="center"/>
              <w:rPr>
                <w:rFonts w:cs="Arial"/>
                <w:sz w:val="20"/>
                <w:szCs w:val="22"/>
              </w:rPr>
            </w:pPr>
            <w:r>
              <w:rPr>
                <w:rFonts w:cs="Arial"/>
                <w:sz w:val="20"/>
                <w:szCs w:val="22"/>
              </w:rPr>
              <w:t>2</w:t>
            </w:r>
            <w:r w:rsidR="003B32C6">
              <w:rPr>
                <w:rFonts w:cs="Arial"/>
                <w:sz w:val="20"/>
                <w:szCs w:val="22"/>
              </w:rPr>
              <w:t>8</w:t>
            </w:r>
          </w:p>
        </w:tc>
        <w:tc>
          <w:tcPr>
            <w:tcW w:w="1260" w:type="dxa"/>
            <w:vAlign w:val="center"/>
          </w:tcPr>
          <w:p w:rsidR="00B16F5B" w:rsidRPr="007571C8" w:rsidRDefault="00B16F5B" w:rsidP="00B16F5B">
            <w:pPr>
              <w:spacing w:before="120"/>
              <w:jc w:val="center"/>
              <w:rPr>
                <w:rFonts w:cs="Arial"/>
                <w:sz w:val="20"/>
                <w:szCs w:val="22"/>
              </w:rPr>
            </w:pPr>
            <w:r w:rsidRPr="007571C8">
              <w:rPr>
                <w:rFonts w:cs="Arial"/>
                <w:sz w:val="20"/>
                <w:szCs w:val="22"/>
              </w:rPr>
              <w:t>245.1 LPC</w:t>
            </w:r>
          </w:p>
        </w:tc>
        <w:tc>
          <w:tcPr>
            <w:tcW w:w="6480" w:type="dxa"/>
          </w:tcPr>
          <w:p w:rsidR="00B16F5B" w:rsidRPr="00434009" w:rsidRDefault="00B16F5B" w:rsidP="00B16F5B">
            <w:pPr>
              <w:spacing w:before="120" w:after="120"/>
              <w:jc w:val="both"/>
              <w:rPr>
                <w:rFonts w:cs="Arial"/>
                <w:sz w:val="20"/>
                <w:szCs w:val="22"/>
              </w:rPr>
            </w:pPr>
            <w:r w:rsidRPr="00434009">
              <w:rPr>
                <w:rFonts w:cs="Arial"/>
                <w:sz w:val="20"/>
                <w:szCs w:val="22"/>
              </w:rPr>
              <w:t xml:space="preserve">La </w:t>
            </w:r>
            <w:r w:rsidRPr="00434009">
              <w:rPr>
                <w:rFonts w:cs="Arial"/>
                <w:iCs/>
                <w:sz w:val="20"/>
                <w:szCs w:val="22"/>
              </w:rPr>
              <w:t>LPC</w:t>
            </w:r>
            <w:r w:rsidRPr="00434009">
              <w:rPr>
                <w:rFonts w:cs="Arial"/>
                <w:sz w:val="20"/>
                <w:szCs w:val="22"/>
              </w:rPr>
              <w:t xml:space="preserve"> interdit de faire parvenir à un consommateur qui n’en a pas fait la demande par écrit, un écrit qui, par la seule signature du consommateur, devient u</w:t>
            </w:r>
            <w:r w:rsidR="008C38FC">
              <w:rPr>
                <w:rFonts w:cs="Arial"/>
                <w:sz w:val="20"/>
                <w:szCs w:val="22"/>
              </w:rPr>
              <w:t>n contrat de crédit. Cette interdiction</w:t>
            </w:r>
            <w:r w:rsidRPr="00434009">
              <w:rPr>
                <w:rFonts w:cs="Arial"/>
                <w:sz w:val="20"/>
                <w:szCs w:val="22"/>
              </w:rPr>
              <w:t xml:space="preserve"> ne s’applique toutefois pas au commerçant qui fait parvenir au consommateur un document qui par sa signature n’entraîne pas la formation d’un nouveau contrat de crédit, mais incite le consommateur à utiliser un crédit déjà consenti, par exemple, l’envoi d’un chèque tiré à même le compte de carte de crédit du consommateur.</w:t>
            </w:r>
          </w:p>
        </w:tc>
        <w:tc>
          <w:tcPr>
            <w:tcW w:w="5850" w:type="dxa"/>
          </w:tcPr>
          <w:p w:rsidR="00B16F5B" w:rsidRPr="00434009" w:rsidRDefault="00B16F5B" w:rsidP="00B16F5B">
            <w:pPr>
              <w:spacing w:before="120" w:after="120"/>
              <w:jc w:val="both"/>
              <w:rPr>
                <w:rFonts w:cs="Arial"/>
                <w:sz w:val="20"/>
                <w:szCs w:val="22"/>
              </w:rPr>
            </w:pPr>
            <w:r>
              <w:rPr>
                <w:rFonts w:cs="Arial"/>
                <w:sz w:val="20"/>
                <w:szCs w:val="22"/>
                <w:u w:val="single"/>
              </w:rPr>
              <w:t>Incitation à utiliser un crédit déjà consenti</w:t>
            </w:r>
            <w:r w:rsidRPr="00434009">
              <w:rPr>
                <w:rFonts w:cs="Arial"/>
                <w:sz w:val="20"/>
                <w:szCs w:val="22"/>
              </w:rPr>
              <w:t> : interdiction d’envoyer au consommateur</w:t>
            </w:r>
            <w:r w:rsidR="008C38FC">
              <w:rPr>
                <w:rFonts w:cs="Arial"/>
                <w:sz w:val="20"/>
                <w:szCs w:val="22"/>
              </w:rPr>
              <w:t>,</w:t>
            </w:r>
            <w:r w:rsidRPr="00434009">
              <w:rPr>
                <w:rFonts w:cs="Arial"/>
                <w:sz w:val="20"/>
                <w:szCs w:val="22"/>
              </w:rPr>
              <w:t xml:space="preserve"> qui n’en a pas fait la demande par écrit</w:t>
            </w:r>
            <w:r w:rsidR="008C38FC">
              <w:rPr>
                <w:rFonts w:cs="Arial"/>
                <w:sz w:val="20"/>
                <w:szCs w:val="22"/>
              </w:rPr>
              <w:t>,</w:t>
            </w:r>
            <w:r w:rsidRPr="00434009">
              <w:rPr>
                <w:rFonts w:cs="Arial"/>
                <w:sz w:val="20"/>
                <w:szCs w:val="22"/>
              </w:rPr>
              <w:t xml:space="preserve"> un document qui</w:t>
            </w:r>
            <w:r w:rsidR="003874AD">
              <w:rPr>
                <w:rFonts w:cs="Arial"/>
                <w:sz w:val="20"/>
                <w:szCs w:val="22"/>
              </w:rPr>
              <w:t>,</w:t>
            </w:r>
            <w:r w:rsidRPr="00434009">
              <w:rPr>
                <w:rFonts w:cs="Arial"/>
                <w:sz w:val="20"/>
                <w:szCs w:val="22"/>
              </w:rPr>
              <w:t xml:space="preserve"> par sa signature</w:t>
            </w:r>
            <w:r w:rsidR="003874AD">
              <w:rPr>
                <w:rFonts w:cs="Arial"/>
                <w:sz w:val="20"/>
                <w:szCs w:val="22"/>
              </w:rPr>
              <w:t>,</w:t>
            </w:r>
            <w:r w:rsidRPr="00434009">
              <w:rPr>
                <w:rFonts w:cs="Arial"/>
                <w:sz w:val="20"/>
                <w:szCs w:val="22"/>
              </w:rPr>
              <w:t xml:space="preserve"> lui permet d’utiliser un crédit déjà consenti.</w:t>
            </w:r>
          </w:p>
        </w:tc>
        <w:tc>
          <w:tcPr>
            <w:tcW w:w="5400" w:type="dxa"/>
          </w:tcPr>
          <w:p w:rsidR="00B16F5B" w:rsidRPr="00C83C05" w:rsidRDefault="00B16F5B" w:rsidP="00B16F5B">
            <w:pPr>
              <w:spacing w:before="120" w:after="120"/>
              <w:jc w:val="both"/>
              <w:rPr>
                <w:rFonts w:cs="Arial"/>
                <w:sz w:val="20"/>
                <w:szCs w:val="22"/>
              </w:rPr>
            </w:pPr>
          </w:p>
        </w:tc>
      </w:tr>
      <w:tr w:rsidR="002778E5" w:rsidRPr="006819C9" w:rsidTr="00B16F5B">
        <w:trPr>
          <w:trHeight w:val="1745"/>
        </w:trPr>
        <w:tc>
          <w:tcPr>
            <w:tcW w:w="630" w:type="dxa"/>
            <w:vAlign w:val="center"/>
          </w:tcPr>
          <w:p w:rsidR="002778E5" w:rsidRPr="007571C8" w:rsidRDefault="00D1080A" w:rsidP="00B16F5B">
            <w:pPr>
              <w:spacing w:before="120"/>
              <w:jc w:val="center"/>
              <w:rPr>
                <w:rFonts w:cs="Arial"/>
                <w:sz w:val="20"/>
                <w:szCs w:val="22"/>
              </w:rPr>
            </w:pPr>
            <w:r>
              <w:rPr>
                <w:rFonts w:cs="Arial"/>
                <w:sz w:val="20"/>
                <w:szCs w:val="22"/>
              </w:rPr>
              <w:lastRenderedPageBreak/>
              <w:t>2</w:t>
            </w:r>
            <w:r w:rsidR="003B32C6">
              <w:rPr>
                <w:rFonts w:cs="Arial"/>
                <w:sz w:val="20"/>
                <w:szCs w:val="22"/>
              </w:rPr>
              <w:t>9</w:t>
            </w:r>
          </w:p>
        </w:tc>
        <w:tc>
          <w:tcPr>
            <w:tcW w:w="1260" w:type="dxa"/>
            <w:vAlign w:val="center"/>
          </w:tcPr>
          <w:p w:rsidR="002778E5" w:rsidRPr="007571C8" w:rsidRDefault="002778E5" w:rsidP="00B16F5B">
            <w:pPr>
              <w:spacing w:before="120"/>
              <w:jc w:val="center"/>
              <w:rPr>
                <w:rFonts w:cs="Arial"/>
                <w:sz w:val="20"/>
                <w:szCs w:val="22"/>
              </w:rPr>
            </w:pPr>
            <w:r w:rsidRPr="000A5846">
              <w:rPr>
                <w:rFonts w:cs="Arial"/>
                <w:bCs/>
                <w:sz w:val="20"/>
                <w:szCs w:val="22"/>
              </w:rPr>
              <w:t>119.1</w:t>
            </w:r>
          </w:p>
        </w:tc>
        <w:tc>
          <w:tcPr>
            <w:tcW w:w="6480" w:type="dxa"/>
          </w:tcPr>
          <w:p w:rsidR="002778E5" w:rsidRPr="002778E5" w:rsidRDefault="002778E5" w:rsidP="002778E5">
            <w:pPr>
              <w:spacing w:before="120" w:after="120"/>
              <w:jc w:val="both"/>
              <w:rPr>
                <w:rFonts w:cs="Arial"/>
                <w:sz w:val="20"/>
                <w:szCs w:val="22"/>
              </w:rPr>
            </w:pPr>
            <w:r w:rsidRPr="002778E5">
              <w:rPr>
                <w:rFonts w:cs="Arial"/>
                <w:sz w:val="20"/>
                <w:szCs w:val="22"/>
              </w:rPr>
              <w:t>À partir du 1</w:t>
            </w:r>
            <w:r w:rsidRPr="002778E5">
              <w:rPr>
                <w:rFonts w:cs="Arial"/>
                <w:sz w:val="20"/>
                <w:szCs w:val="22"/>
                <w:vertAlign w:val="superscript"/>
              </w:rPr>
              <w:t>er</w:t>
            </w:r>
            <w:r w:rsidRPr="002778E5">
              <w:rPr>
                <w:rFonts w:cs="Arial"/>
                <w:sz w:val="20"/>
                <w:szCs w:val="22"/>
              </w:rPr>
              <w:t xml:space="preserve"> août 2019, les nouveaux contrats conclus pour l’utilisation d’une carte de crédit ne pourront prévoir un versement périodique minimal inférieur à 5% du solde </w:t>
            </w:r>
            <w:r>
              <w:rPr>
                <w:rFonts w:cs="Arial"/>
                <w:sz w:val="20"/>
                <w:szCs w:val="22"/>
              </w:rPr>
              <w:t>du compte</w:t>
            </w:r>
            <w:r w:rsidRPr="002778E5">
              <w:rPr>
                <w:rFonts w:cs="Arial"/>
                <w:sz w:val="20"/>
                <w:szCs w:val="22"/>
              </w:rPr>
              <w:t>. Le versement minimal pour les contrats en cours à cette date augmentera quant à lui de 2 à 5 % à l’intérieur d’une période de transition de 6 ans.</w:t>
            </w:r>
          </w:p>
          <w:p w:rsidR="002778E5" w:rsidRPr="002778E5" w:rsidRDefault="002778E5" w:rsidP="002778E5">
            <w:pPr>
              <w:spacing w:before="120" w:after="120"/>
              <w:jc w:val="both"/>
              <w:rPr>
                <w:rFonts w:cs="Arial"/>
                <w:sz w:val="20"/>
                <w:szCs w:val="22"/>
              </w:rPr>
            </w:pPr>
            <w:r w:rsidRPr="002778E5">
              <w:rPr>
                <w:rFonts w:cs="Arial"/>
                <w:sz w:val="20"/>
                <w:szCs w:val="22"/>
              </w:rPr>
              <w:t>L’article 119.1 LPC, qui entrera aussi en vigueur le 1</w:t>
            </w:r>
            <w:r w:rsidRPr="002778E5">
              <w:rPr>
                <w:rFonts w:cs="Arial"/>
                <w:sz w:val="20"/>
                <w:szCs w:val="22"/>
                <w:vertAlign w:val="superscript"/>
              </w:rPr>
              <w:t>er</w:t>
            </w:r>
            <w:r w:rsidRPr="002778E5">
              <w:rPr>
                <w:rFonts w:cs="Arial"/>
                <w:sz w:val="20"/>
                <w:szCs w:val="22"/>
              </w:rPr>
              <w:t xml:space="preserve"> août 2019, énonce les renseignements que doit contenir un formulaire de demande de carte de crédit. Il ne prévoit toutefois pas l’obligation pour le commerçant d’indiquer l’information relative au versement minimal requis pour une période.</w:t>
            </w:r>
          </w:p>
          <w:p w:rsidR="002778E5" w:rsidRPr="00434009" w:rsidRDefault="002778E5" w:rsidP="002778E5">
            <w:pPr>
              <w:spacing w:before="120" w:after="120"/>
              <w:jc w:val="both"/>
              <w:rPr>
                <w:rFonts w:cs="Arial"/>
                <w:sz w:val="20"/>
                <w:szCs w:val="22"/>
              </w:rPr>
            </w:pPr>
            <w:r w:rsidRPr="002778E5">
              <w:rPr>
                <w:rFonts w:cs="Arial"/>
                <w:sz w:val="20"/>
                <w:szCs w:val="22"/>
              </w:rPr>
              <w:t>Une telle information est importante pour une prise de décision éclairée de la part du consommateur qui pourrait ne pas être au fait que le versement minimal associé à la carte qu’il demande est supérieur à celui associé à une carte qu’il détient déjà.</w:t>
            </w:r>
          </w:p>
        </w:tc>
        <w:tc>
          <w:tcPr>
            <w:tcW w:w="5850" w:type="dxa"/>
          </w:tcPr>
          <w:p w:rsidR="002778E5" w:rsidRPr="002778E5" w:rsidRDefault="002778E5" w:rsidP="000C687E">
            <w:pPr>
              <w:spacing w:before="120" w:after="120"/>
              <w:jc w:val="both"/>
              <w:rPr>
                <w:rFonts w:cs="Arial"/>
                <w:sz w:val="20"/>
                <w:szCs w:val="22"/>
              </w:rPr>
            </w:pPr>
            <w:r w:rsidRPr="002778E5">
              <w:rPr>
                <w:rFonts w:cs="Arial"/>
                <w:sz w:val="20"/>
                <w:szCs w:val="22"/>
                <w:u w:val="single"/>
              </w:rPr>
              <w:t>Information sur le versement minimal dans le formulaire de demande de carte de crédit</w:t>
            </w:r>
            <w:r w:rsidRPr="002778E5">
              <w:rPr>
                <w:rFonts w:cs="Arial"/>
                <w:sz w:val="20"/>
                <w:szCs w:val="22"/>
              </w:rPr>
              <w:t xml:space="preserve"> : obligation pour le commerçant d’indiquer dans le formulaire de demande de carte de crédit le mode de calcul </w:t>
            </w:r>
            <w:r w:rsidR="000C687E">
              <w:rPr>
                <w:rFonts w:cs="Arial"/>
                <w:sz w:val="20"/>
                <w:szCs w:val="22"/>
              </w:rPr>
              <w:t>du versement minimal</w:t>
            </w:r>
            <w:r w:rsidRPr="002778E5">
              <w:rPr>
                <w:rFonts w:cs="Arial"/>
                <w:sz w:val="20"/>
                <w:szCs w:val="22"/>
              </w:rPr>
              <w:t xml:space="preserve"> pour chaque période.</w:t>
            </w:r>
          </w:p>
        </w:tc>
        <w:tc>
          <w:tcPr>
            <w:tcW w:w="5400" w:type="dxa"/>
          </w:tcPr>
          <w:p w:rsidR="002778E5" w:rsidRPr="00DE444C" w:rsidRDefault="002778E5" w:rsidP="00B16F5B">
            <w:pPr>
              <w:spacing w:before="120" w:after="120"/>
              <w:jc w:val="both"/>
              <w:rPr>
                <w:rFonts w:cs="Arial"/>
                <w:sz w:val="20"/>
                <w:szCs w:val="22"/>
              </w:rPr>
            </w:pPr>
          </w:p>
        </w:tc>
      </w:tr>
      <w:tr w:rsidR="00B16F5B" w:rsidRPr="006819C9" w:rsidTr="00B16F5B">
        <w:trPr>
          <w:trHeight w:val="1745"/>
        </w:trPr>
        <w:tc>
          <w:tcPr>
            <w:tcW w:w="630" w:type="dxa"/>
            <w:vAlign w:val="center"/>
          </w:tcPr>
          <w:p w:rsidR="00B16F5B" w:rsidRPr="007571C8" w:rsidRDefault="003B32C6" w:rsidP="00B16F5B">
            <w:pPr>
              <w:spacing w:before="120"/>
              <w:jc w:val="center"/>
              <w:rPr>
                <w:rFonts w:cs="Arial"/>
                <w:bCs/>
                <w:sz w:val="20"/>
                <w:szCs w:val="22"/>
              </w:rPr>
            </w:pPr>
            <w:r>
              <w:rPr>
                <w:rFonts w:cs="Arial"/>
                <w:bCs/>
                <w:sz w:val="20"/>
                <w:szCs w:val="22"/>
              </w:rPr>
              <w:t>30</w:t>
            </w:r>
          </w:p>
        </w:tc>
        <w:tc>
          <w:tcPr>
            <w:tcW w:w="1260" w:type="dxa"/>
            <w:vAlign w:val="center"/>
          </w:tcPr>
          <w:p w:rsidR="00B16F5B" w:rsidRPr="007571C8" w:rsidRDefault="00B16F5B" w:rsidP="00B16F5B">
            <w:pPr>
              <w:spacing w:before="120"/>
              <w:jc w:val="center"/>
              <w:rPr>
                <w:rFonts w:cs="Arial"/>
                <w:bCs/>
                <w:sz w:val="20"/>
                <w:szCs w:val="22"/>
              </w:rPr>
            </w:pPr>
            <w:r w:rsidRPr="007571C8">
              <w:rPr>
                <w:rFonts w:cs="Arial"/>
                <w:bCs/>
                <w:sz w:val="20"/>
                <w:szCs w:val="22"/>
              </w:rPr>
              <w:t>119.2 LPC</w:t>
            </w:r>
          </w:p>
        </w:tc>
        <w:tc>
          <w:tcPr>
            <w:tcW w:w="6480" w:type="dxa"/>
          </w:tcPr>
          <w:p w:rsidR="00B16F5B" w:rsidRPr="00434009" w:rsidRDefault="00B16F5B" w:rsidP="00B16F5B">
            <w:pPr>
              <w:spacing w:before="120" w:after="120"/>
              <w:jc w:val="both"/>
              <w:rPr>
                <w:rFonts w:cs="Arial"/>
                <w:sz w:val="20"/>
                <w:szCs w:val="22"/>
              </w:rPr>
            </w:pPr>
            <w:r w:rsidRPr="00434009">
              <w:rPr>
                <w:rFonts w:cs="Arial"/>
                <w:sz w:val="20"/>
                <w:szCs w:val="22"/>
              </w:rPr>
              <w:t>Lors de l’approbation d’une demande de financement pour l’achat d’un bien, il est fréquent que les commerçants octroient une limite de crédit d'un montant supérieur à celui de l’achat, et ce, sans l’autorisation préalable du consommateur. Une telle pratique peut contribuer au surendettement du consommateur.</w:t>
            </w:r>
          </w:p>
        </w:tc>
        <w:tc>
          <w:tcPr>
            <w:tcW w:w="5850" w:type="dxa"/>
          </w:tcPr>
          <w:p w:rsidR="00B16F5B" w:rsidRPr="00434009" w:rsidRDefault="00B16F5B" w:rsidP="00B16F5B">
            <w:pPr>
              <w:spacing w:before="120" w:after="120"/>
              <w:jc w:val="both"/>
              <w:rPr>
                <w:rFonts w:cs="Arial"/>
                <w:sz w:val="20"/>
                <w:szCs w:val="22"/>
                <w:u w:val="single"/>
              </w:rPr>
            </w:pPr>
            <w:r>
              <w:rPr>
                <w:rFonts w:cs="Arial"/>
                <w:sz w:val="20"/>
                <w:szCs w:val="22"/>
                <w:u w:val="single"/>
              </w:rPr>
              <w:t>Indication de la l</w:t>
            </w:r>
            <w:r w:rsidRPr="00434009">
              <w:rPr>
                <w:rFonts w:cs="Arial"/>
                <w:sz w:val="20"/>
                <w:szCs w:val="22"/>
                <w:u w:val="single"/>
              </w:rPr>
              <w:t>imite de crédit</w:t>
            </w:r>
            <w:r>
              <w:rPr>
                <w:rFonts w:cs="Arial"/>
                <w:sz w:val="20"/>
                <w:szCs w:val="22"/>
                <w:u w:val="single"/>
              </w:rPr>
              <w:t xml:space="preserve"> souhaitée</w:t>
            </w:r>
            <w:r w:rsidRPr="00434009">
              <w:rPr>
                <w:rFonts w:cs="Arial"/>
                <w:sz w:val="20"/>
                <w:szCs w:val="22"/>
              </w:rPr>
              <w:t xml:space="preserve"> : obligation pour le consommateur de préciser la limite de crédit souhaitée dans le formulaire de demande de </w:t>
            </w:r>
            <w:r>
              <w:rPr>
                <w:rFonts w:cs="Arial"/>
                <w:sz w:val="20"/>
                <w:szCs w:val="22"/>
              </w:rPr>
              <w:t>carte de crédit</w:t>
            </w:r>
            <w:r w:rsidRPr="00434009">
              <w:rPr>
                <w:rFonts w:cs="Arial"/>
                <w:sz w:val="20"/>
                <w:szCs w:val="22"/>
              </w:rPr>
              <w:t>. Interdiction pour le commerçant de consentir une limite supérieure.</w:t>
            </w:r>
            <w:r w:rsidRPr="00434009">
              <w:rPr>
                <w:rFonts w:eastAsia="Calibri" w:cs="Arial"/>
                <w:color w:val="000000"/>
                <w:sz w:val="20"/>
                <w:szCs w:val="22"/>
              </w:rPr>
              <w:t xml:space="preserve"> </w:t>
            </w:r>
          </w:p>
        </w:tc>
        <w:tc>
          <w:tcPr>
            <w:tcW w:w="5400" w:type="dxa"/>
          </w:tcPr>
          <w:p w:rsidR="00B16F5B" w:rsidRPr="00C83C05" w:rsidRDefault="00B16F5B" w:rsidP="00B16F5B">
            <w:pPr>
              <w:spacing w:before="120" w:after="120"/>
              <w:jc w:val="both"/>
              <w:rPr>
                <w:rFonts w:cs="Arial"/>
                <w:sz w:val="20"/>
                <w:szCs w:val="22"/>
              </w:rPr>
            </w:pPr>
          </w:p>
        </w:tc>
      </w:tr>
      <w:tr w:rsidR="00B16F5B" w:rsidRPr="006819C9" w:rsidTr="00B16F5B">
        <w:trPr>
          <w:trHeight w:val="1745"/>
        </w:trPr>
        <w:tc>
          <w:tcPr>
            <w:tcW w:w="630" w:type="dxa"/>
            <w:vAlign w:val="center"/>
          </w:tcPr>
          <w:p w:rsidR="00B16F5B" w:rsidRPr="007571C8" w:rsidRDefault="003B32C6" w:rsidP="00B16F5B">
            <w:pPr>
              <w:spacing w:before="120"/>
              <w:jc w:val="center"/>
              <w:rPr>
                <w:rFonts w:cs="Arial"/>
                <w:bCs/>
                <w:sz w:val="20"/>
                <w:szCs w:val="22"/>
              </w:rPr>
            </w:pPr>
            <w:r>
              <w:rPr>
                <w:rFonts w:cs="Arial"/>
                <w:bCs/>
                <w:sz w:val="20"/>
                <w:szCs w:val="22"/>
              </w:rPr>
              <w:t>31</w:t>
            </w:r>
          </w:p>
        </w:tc>
        <w:tc>
          <w:tcPr>
            <w:tcW w:w="1260" w:type="dxa"/>
            <w:vAlign w:val="center"/>
          </w:tcPr>
          <w:p w:rsidR="00B16F5B" w:rsidRPr="007571C8" w:rsidRDefault="00B16F5B" w:rsidP="00B16F5B">
            <w:pPr>
              <w:spacing w:before="120"/>
              <w:jc w:val="center"/>
              <w:rPr>
                <w:rFonts w:cs="Arial"/>
                <w:bCs/>
                <w:sz w:val="20"/>
                <w:szCs w:val="22"/>
              </w:rPr>
            </w:pPr>
            <w:r w:rsidRPr="007571C8">
              <w:rPr>
                <w:rFonts w:cs="Arial"/>
                <w:bCs/>
                <w:sz w:val="20"/>
                <w:szCs w:val="22"/>
              </w:rPr>
              <w:t>125.3 LPC</w:t>
            </w:r>
          </w:p>
        </w:tc>
        <w:tc>
          <w:tcPr>
            <w:tcW w:w="6480" w:type="dxa"/>
          </w:tcPr>
          <w:p w:rsidR="00B16F5B" w:rsidRPr="00434009" w:rsidRDefault="00B16F5B" w:rsidP="00B16F5B">
            <w:pPr>
              <w:spacing w:before="120" w:after="120"/>
              <w:jc w:val="both"/>
              <w:rPr>
                <w:rFonts w:cs="Arial"/>
                <w:sz w:val="20"/>
                <w:szCs w:val="22"/>
              </w:rPr>
            </w:pPr>
            <w:r w:rsidRPr="00434009">
              <w:rPr>
                <w:rFonts w:cs="Arial"/>
                <w:sz w:val="20"/>
                <w:szCs w:val="22"/>
              </w:rPr>
              <w:t>Des</w:t>
            </w:r>
            <w:r w:rsidRPr="00434009">
              <w:rPr>
                <w:rFonts w:cs="Arial"/>
                <w:bCs/>
                <w:sz w:val="20"/>
                <w:szCs w:val="22"/>
              </w:rPr>
              <w:t xml:space="preserve"> taux de crédit très bas sont souvent utilisés pour inciter les consommateurs à se procurer des cartes de crédit et à y transférer des soldes accumulés sur d’autres cartes. Or, la période durant laquelle ces taux sont applicables est trop courte de sorte que le taux post promotion s’appliquera avant que le consommateur n’ait eu le temps de payer les anciens soldes.</w:t>
            </w:r>
          </w:p>
        </w:tc>
        <w:tc>
          <w:tcPr>
            <w:tcW w:w="5850" w:type="dxa"/>
          </w:tcPr>
          <w:p w:rsidR="00B16F5B" w:rsidRPr="00434009" w:rsidRDefault="00B16F5B" w:rsidP="00B16F5B">
            <w:pPr>
              <w:spacing w:before="120" w:after="120"/>
              <w:jc w:val="both"/>
              <w:rPr>
                <w:rFonts w:cs="Arial"/>
                <w:sz w:val="20"/>
                <w:szCs w:val="22"/>
                <w:u w:val="single"/>
              </w:rPr>
            </w:pPr>
            <w:r w:rsidRPr="00434009">
              <w:rPr>
                <w:rFonts w:cs="Arial"/>
                <w:sz w:val="20"/>
                <w:szCs w:val="22"/>
                <w:u w:val="single"/>
              </w:rPr>
              <w:t>Carte de crédit avec taux de crédit promotionnel</w:t>
            </w:r>
            <w:r w:rsidRPr="00434009">
              <w:rPr>
                <w:rFonts w:cs="Arial"/>
                <w:sz w:val="20"/>
                <w:szCs w:val="22"/>
              </w:rPr>
              <w:t xml:space="preserve"> : interdiction d’augmenter le taux promotionnel pendant six mois. </w:t>
            </w:r>
          </w:p>
        </w:tc>
        <w:tc>
          <w:tcPr>
            <w:tcW w:w="5400" w:type="dxa"/>
          </w:tcPr>
          <w:p w:rsidR="00B16F5B" w:rsidRPr="00C83C05" w:rsidRDefault="00B16F5B" w:rsidP="00B16F5B">
            <w:pPr>
              <w:spacing w:before="120" w:after="120"/>
              <w:jc w:val="both"/>
              <w:rPr>
                <w:rFonts w:cs="Arial"/>
                <w:sz w:val="20"/>
                <w:szCs w:val="22"/>
              </w:rPr>
            </w:pPr>
          </w:p>
        </w:tc>
      </w:tr>
      <w:tr w:rsidR="00B16F5B" w:rsidRPr="006819C9" w:rsidTr="00B16F5B">
        <w:trPr>
          <w:trHeight w:val="1745"/>
        </w:trPr>
        <w:tc>
          <w:tcPr>
            <w:tcW w:w="630" w:type="dxa"/>
            <w:vAlign w:val="center"/>
          </w:tcPr>
          <w:p w:rsidR="00B16F5B" w:rsidRPr="006819C9" w:rsidRDefault="007E337B" w:rsidP="00B16F5B">
            <w:pPr>
              <w:spacing w:before="120"/>
              <w:jc w:val="center"/>
              <w:rPr>
                <w:rFonts w:cs="Arial"/>
                <w:sz w:val="20"/>
                <w:szCs w:val="22"/>
              </w:rPr>
            </w:pPr>
            <w:r>
              <w:rPr>
                <w:rFonts w:cs="Arial"/>
                <w:sz w:val="20"/>
                <w:szCs w:val="22"/>
              </w:rPr>
              <w:lastRenderedPageBreak/>
              <w:t>3</w:t>
            </w:r>
            <w:r w:rsidR="003B32C6">
              <w:rPr>
                <w:rFonts w:cs="Arial"/>
                <w:sz w:val="20"/>
                <w:szCs w:val="22"/>
              </w:rPr>
              <w:t>2</w:t>
            </w:r>
          </w:p>
        </w:tc>
        <w:tc>
          <w:tcPr>
            <w:tcW w:w="1260" w:type="dxa"/>
            <w:vAlign w:val="center"/>
          </w:tcPr>
          <w:p w:rsidR="00B16F5B" w:rsidRPr="006819C9" w:rsidRDefault="00B16F5B" w:rsidP="00B16F5B">
            <w:pPr>
              <w:spacing w:before="120"/>
              <w:jc w:val="center"/>
              <w:rPr>
                <w:rFonts w:cs="Arial"/>
                <w:sz w:val="20"/>
                <w:szCs w:val="22"/>
              </w:rPr>
            </w:pPr>
            <w:r>
              <w:rPr>
                <w:rFonts w:cs="Arial"/>
                <w:sz w:val="20"/>
                <w:szCs w:val="22"/>
              </w:rPr>
              <w:t>245</w:t>
            </w:r>
            <w:proofErr w:type="gramStart"/>
            <w:r>
              <w:rPr>
                <w:rFonts w:cs="Arial"/>
                <w:sz w:val="20"/>
                <w:szCs w:val="22"/>
              </w:rPr>
              <w:t>.X</w:t>
            </w:r>
            <w:proofErr w:type="gramEnd"/>
            <w:r w:rsidRPr="006819C9">
              <w:rPr>
                <w:rFonts w:cs="Arial"/>
                <w:sz w:val="20"/>
                <w:szCs w:val="22"/>
              </w:rPr>
              <w:t xml:space="preserve"> LPC</w:t>
            </w:r>
          </w:p>
        </w:tc>
        <w:tc>
          <w:tcPr>
            <w:tcW w:w="6480" w:type="dxa"/>
          </w:tcPr>
          <w:p w:rsidR="00B16F5B" w:rsidRPr="006819C9" w:rsidRDefault="00B16F5B" w:rsidP="00B16F5B">
            <w:pPr>
              <w:spacing w:before="120" w:after="120"/>
              <w:jc w:val="both"/>
              <w:rPr>
                <w:rFonts w:cs="Arial"/>
                <w:sz w:val="20"/>
                <w:szCs w:val="22"/>
              </w:rPr>
            </w:pPr>
            <w:r w:rsidRPr="006819C9">
              <w:rPr>
                <w:rFonts w:cs="Arial"/>
                <w:sz w:val="20"/>
                <w:szCs w:val="22"/>
              </w:rPr>
              <w:t>Des commerçants incitent des consommateurs à s’engager dans un contrat de crédit à l’aide de primes. Par exemple, sur des campus universitaires, on offre des articles promotionnels tels que des t-shirts, pour inciter les étudiants à compléter une demande de carte de crédit lors d’opérations de promotion. Le même genre de tactique est utilisé dans des centres commerciaux pour attirer des personnes âgées ou d’autres clientèles vulnérables. Ce genre de promotion n’est pas de nature à promouvoir une décision éclairée du consommateur</w:t>
            </w:r>
            <w:r>
              <w:rPr>
                <w:rFonts w:cs="Arial"/>
                <w:sz w:val="20"/>
                <w:szCs w:val="22"/>
              </w:rPr>
              <w:t>.</w:t>
            </w:r>
          </w:p>
        </w:tc>
        <w:tc>
          <w:tcPr>
            <w:tcW w:w="5850" w:type="dxa"/>
          </w:tcPr>
          <w:p w:rsidR="00B16F5B" w:rsidRPr="006819C9" w:rsidRDefault="00B16F5B" w:rsidP="00B16F5B">
            <w:pPr>
              <w:spacing w:before="120" w:after="120"/>
              <w:jc w:val="both"/>
              <w:rPr>
                <w:rFonts w:cs="Arial"/>
                <w:sz w:val="20"/>
                <w:szCs w:val="22"/>
              </w:rPr>
            </w:pPr>
            <w:r w:rsidRPr="006819C9">
              <w:rPr>
                <w:rFonts w:cs="Arial"/>
                <w:sz w:val="20"/>
                <w:szCs w:val="22"/>
                <w:u w:val="single"/>
              </w:rPr>
              <w:t>Primes</w:t>
            </w:r>
            <w:r>
              <w:rPr>
                <w:rFonts w:cs="Arial"/>
                <w:sz w:val="20"/>
                <w:szCs w:val="22"/>
                <w:u w:val="single"/>
              </w:rPr>
              <w:t xml:space="preserve"> visant à inciter à faire une demande de carte de crédit</w:t>
            </w:r>
            <w:r w:rsidRPr="006819C9">
              <w:rPr>
                <w:rFonts w:cs="Arial"/>
                <w:sz w:val="20"/>
                <w:szCs w:val="22"/>
              </w:rPr>
              <w:t xml:space="preserve"> : interdiction d’offrir une prime pour inciter un consommateur à compléter une demande de carte de crédit. </w:t>
            </w:r>
          </w:p>
          <w:p w:rsidR="00B16F5B" w:rsidRPr="006819C9" w:rsidRDefault="00B16F5B" w:rsidP="00B16F5B">
            <w:pPr>
              <w:spacing w:before="120" w:after="120"/>
              <w:jc w:val="both"/>
              <w:rPr>
                <w:rFonts w:cs="Arial"/>
                <w:sz w:val="20"/>
                <w:szCs w:val="22"/>
              </w:rPr>
            </w:pPr>
            <w:r w:rsidRPr="006819C9">
              <w:rPr>
                <w:rFonts w:cs="Arial"/>
                <w:sz w:val="20"/>
                <w:szCs w:val="22"/>
              </w:rPr>
              <w:t>Précision que l’offre d’une carte de crédit avec un taux promotionnel n’est pas une prime.</w:t>
            </w:r>
          </w:p>
        </w:tc>
        <w:tc>
          <w:tcPr>
            <w:tcW w:w="5400" w:type="dxa"/>
          </w:tcPr>
          <w:p w:rsidR="00B16F5B" w:rsidRPr="00C83C05" w:rsidRDefault="00B16F5B" w:rsidP="00B16F5B">
            <w:pPr>
              <w:spacing w:before="120" w:after="120"/>
              <w:jc w:val="both"/>
              <w:rPr>
                <w:rFonts w:cs="Arial"/>
                <w:sz w:val="20"/>
                <w:szCs w:val="22"/>
              </w:rPr>
            </w:pPr>
          </w:p>
        </w:tc>
      </w:tr>
      <w:tr w:rsidR="001E7F50" w:rsidRPr="006819C9" w:rsidTr="00B16F5B">
        <w:trPr>
          <w:trHeight w:val="1745"/>
        </w:trPr>
        <w:tc>
          <w:tcPr>
            <w:tcW w:w="630" w:type="dxa"/>
            <w:vAlign w:val="center"/>
          </w:tcPr>
          <w:p w:rsidR="001E7F50" w:rsidRPr="006819C9" w:rsidRDefault="006A07FB" w:rsidP="00B16F5B">
            <w:pPr>
              <w:spacing w:before="120"/>
              <w:jc w:val="center"/>
              <w:rPr>
                <w:rFonts w:cs="Arial"/>
                <w:sz w:val="20"/>
                <w:szCs w:val="22"/>
              </w:rPr>
            </w:pPr>
            <w:r>
              <w:rPr>
                <w:rFonts w:cs="Arial"/>
                <w:sz w:val="20"/>
                <w:szCs w:val="22"/>
              </w:rPr>
              <w:t>3</w:t>
            </w:r>
            <w:r w:rsidR="003B32C6">
              <w:rPr>
                <w:rFonts w:cs="Arial"/>
                <w:sz w:val="20"/>
                <w:szCs w:val="22"/>
              </w:rPr>
              <w:t>3</w:t>
            </w:r>
          </w:p>
        </w:tc>
        <w:tc>
          <w:tcPr>
            <w:tcW w:w="1260" w:type="dxa"/>
            <w:vAlign w:val="center"/>
          </w:tcPr>
          <w:p w:rsidR="001E7F50" w:rsidRDefault="001E7F50" w:rsidP="00B16F5B">
            <w:pPr>
              <w:spacing w:before="120"/>
              <w:jc w:val="center"/>
              <w:rPr>
                <w:rFonts w:cs="Arial"/>
                <w:sz w:val="20"/>
                <w:szCs w:val="22"/>
              </w:rPr>
            </w:pPr>
            <w:r w:rsidRPr="000A5846">
              <w:rPr>
                <w:rFonts w:cs="Arial"/>
                <w:sz w:val="20"/>
                <w:szCs w:val="22"/>
              </w:rPr>
              <w:t>128.1 LPC</w:t>
            </w:r>
          </w:p>
        </w:tc>
        <w:tc>
          <w:tcPr>
            <w:tcW w:w="6480" w:type="dxa"/>
          </w:tcPr>
          <w:p w:rsidR="001E7F50" w:rsidRPr="001E7F50" w:rsidRDefault="001E7F50" w:rsidP="001E7F50">
            <w:pPr>
              <w:spacing w:before="120" w:after="120"/>
              <w:jc w:val="both"/>
              <w:rPr>
                <w:rFonts w:cs="Arial"/>
                <w:sz w:val="20"/>
                <w:szCs w:val="22"/>
              </w:rPr>
            </w:pPr>
            <w:r w:rsidRPr="001E7F50">
              <w:rPr>
                <w:rFonts w:cs="Arial"/>
                <w:sz w:val="20"/>
                <w:szCs w:val="22"/>
              </w:rPr>
              <w:t>À partir du 1er août 2019, il sera possible pour un commerçant de permettre à un consommateur d’effectuer des opérations dépassant la limite de crédit si certaines conditions sont satisfaites. L’obligation pour le commerçant de transmettre un avis au consommateur indiquant que celui-ci a effectué une opération entraînant le dépassement de sa limite de crédit compte au nombre de ces conditions.</w:t>
            </w:r>
          </w:p>
          <w:p w:rsidR="001E7F50" w:rsidRPr="006819C9" w:rsidRDefault="001E7F50" w:rsidP="001E7F50">
            <w:pPr>
              <w:spacing w:before="120" w:after="120"/>
              <w:jc w:val="both"/>
              <w:rPr>
                <w:rFonts w:cs="Arial"/>
                <w:sz w:val="20"/>
                <w:szCs w:val="22"/>
              </w:rPr>
            </w:pPr>
            <w:r w:rsidRPr="001E7F50">
              <w:rPr>
                <w:rFonts w:cs="Arial"/>
                <w:sz w:val="20"/>
                <w:szCs w:val="22"/>
              </w:rPr>
              <w:t>Le projet de loi fédéral C-86, adopté en décembre dernier, s’intéresse notamment à la protection des consommateurs en matière financière. Il modifie la Loi sur les banques de façon à ce que celle-ci prévoit l’obligation pour les banques de transmettre, sans délai, par voie électronique un avertissement au consommateur dès lors que le crédit disponible sur sa marge de crédit ou sur sa carte de crédit est inférieur à un certain montant (ex : 100$).  Le consommateur pourra aussi indiquer à l’institution le montant à partir duquel il veut être averti.</w:t>
            </w:r>
          </w:p>
        </w:tc>
        <w:tc>
          <w:tcPr>
            <w:tcW w:w="5850" w:type="dxa"/>
          </w:tcPr>
          <w:p w:rsidR="001E7F50" w:rsidRPr="006819C9" w:rsidRDefault="001E7F50" w:rsidP="000F164A">
            <w:pPr>
              <w:spacing w:before="120" w:after="120"/>
              <w:jc w:val="both"/>
              <w:rPr>
                <w:rFonts w:cs="Arial"/>
                <w:sz w:val="20"/>
                <w:szCs w:val="22"/>
                <w:u w:val="single"/>
              </w:rPr>
            </w:pPr>
            <w:r>
              <w:rPr>
                <w:rFonts w:cs="Arial"/>
                <w:sz w:val="20"/>
                <w:szCs w:val="22"/>
                <w:u w:val="single"/>
              </w:rPr>
              <w:t>Dépassement de la limite de crédit</w:t>
            </w:r>
            <w:r>
              <w:rPr>
                <w:rFonts w:cs="Arial"/>
                <w:sz w:val="20"/>
                <w:szCs w:val="22"/>
              </w:rPr>
              <w:t> : ajuster</w:t>
            </w:r>
            <w:r w:rsidR="000F164A">
              <w:rPr>
                <w:rFonts w:cs="Arial"/>
                <w:sz w:val="20"/>
                <w:szCs w:val="22"/>
              </w:rPr>
              <w:t xml:space="preserve"> l’exigence relative à la transmission de l’</w:t>
            </w:r>
            <w:r>
              <w:rPr>
                <w:rFonts w:cs="Arial"/>
                <w:sz w:val="20"/>
                <w:szCs w:val="22"/>
              </w:rPr>
              <w:t>avis en s’inspirant directement de celle qui est prévue au projet de loi C-86.</w:t>
            </w:r>
          </w:p>
        </w:tc>
        <w:tc>
          <w:tcPr>
            <w:tcW w:w="5400" w:type="dxa"/>
          </w:tcPr>
          <w:p w:rsidR="001E7F50" w:rsidRPr="00327E20" w:rsidRDefault="001E7F50" w:rsidP="00487150">
            <w:pPr>
              <w:spacing w:before="120" w:after="120"/>
              <w:jc w:val="both"/>
              <w:rPr>
                <w:rFonts w:cs="Arial"/>
                <w:sz w:val="20"/>
                <w:szCs w:val="22"/>
              </w:rPr>
            </w:pPr>
          </w:p>
        </w:tc>
      </w:tr>
      <w:tr w:rsidR="00B16F5B" w:rsidRPr="006819C9" w:rsidTr="00B16F5B">
        <w:trPr>
          <w:trHeight w:val="1745"/>
        </w:trPr>
        <w:tc>
          <w:tcPr>
            <w:tcW w:w="630" w:type="dxa"/>
            <w:vAlign w:val="center"/>
          </w:tcPr>
          <w:p w:rsidR="00B16F5B" w:rsidRPr="006819C9" w:rsidRDefault="00D1080A" w:rsidP="00B16F5B">
            <w:pPr>
              <w:spacing w:before="120"/>
              <w:jc w:val="center"/>
              <w:rPr>
                <w:rFonts w:cs="Arial"/>
                <w:bCs/>
                <w:sz w:val="20"/>
                <w:szCs w:val="22"/>
              </w:rPr>
            </w:pPr>
            <w:r>
              <w:rPr>
                <w:rFonts w:cs="Arial"/>
                <w:bCs/>
                <w:sz w:val="20"/>
                <w:szCs w:val="22"/>
              </w:rPr>
              <w:t>3</w:t>
            </w:r>
            <w:r w:rsidR="003B32C6">
              <w:rPr>
                <w:rFonts w:cs="Arial"/>
                <w:bCs/>
                <w:sz w:val="20"/>
                <w:szCs w:val="22"/>
              </w:rPr>
              <w:t>4</w:t>
            </w:r>
          </w:p>
        </w:tc>
        <w:tc>
          <w:tcPr>
            <w:tcW w:w="1260" w:type="dxa"/>
            <w:vAlign w:val="center"/>
          </w:tcPr>
          <w:p w:rsidR="00B16F5B" w:rsidRPr="006819C9" w:rsidRDefault="00B16F5B" w:rsidP="00B16F5B">
            <w:pPr>
              <w:spacing w:before="120"/>
              <w:jc w:val="center"/>
              <w:rPr>
                <w:rFonts w:cs="Arial"/>
                <w:bCs/>
                <w:sz w:val="20"/>
                <w:szCs w:val="22"/>
              </w:rPr>
            </w:pPr>
            <w:r w:rsidRPr="006819C9">
              <w:rPr>
                <w:rFonts w:cs="Arial"/>
                <w:bCs/>
                <w:sz w:val="20"/>
                <w:szCs w:val="22"/>
              </w:rPr>
              <w:t>127.2 LPC</w:t>
            </w:r>
          </w:p>
        </w:tc>
        <w:tc>
          <w:tcPr>
            <w:tcW w:w="6480" w:type="dxa"/>
          </w:tcPr>
          <w:p w:rsidR="00B16F5B" w:rsidRPr="006819C9" w:rsidRDefault="00B16F5B" w:rsidP="00B16F5B">
            <w:pPr>
              <w:spacing w:before="120" w:after="120"/>
              <w:jc w:val="both"/>
              <w:rPr>
                <w:rFonts w:cs="Arial"/>
                <w:sz w:val="20"/>
                <w:szCs w:val="22"/>
              </w:rPr>
            </w:pPr>
            <w:r w:rsidRPr="006819C9">
              <w:rPr>
                <w:rFonts w:cs="Arial"/>
                <w:sz w:val="20"/>
                <w:szCs w:val="22"/>
              </w:rPr>
              <w:t>Le contrat de crédit variable contient souvent une méthode d’imputation des paiements qui est défavorable au consommateur en ce que le commerçant impute le paiement à la dette ayant les taux de crédit les moins élevés.</w:t>
            </w:r>
          </w:p>
          <w:p w:rsidR="00B16F5B" w:rsidRPr="006819C9" w:rsidRDefault="00B16F5B" w:rsidP="00B16F5B">
            <w:pPr>
              <w:spacing w:before="120" w:after="120"/>
              <w:jc w:val="both"/>
              <w:rPr>
                <w:rFonts w:cs="Arial"/>
                <w:sz w:val="20"/>
                <w:szCs w:val="22"/>
              </w:rPr>
            </w:pPr>
            <w:r w:rsidRPr="006819C9">
              <w:rPr>
                <w:rFonts w:cs="Arial"/>
                <w:sz w:val="20"/>
                <w:szCs w:val="22"/>
              </w:rPr>
              <w:t xml:space="preserve">Cette problématique est toutefois en partie réglée avec l’entrée en vigueur en 2010 d’une modification au Règlement fédéral sur les pratiques commerciales en matière de crédit. Les institutions financières de règlementation fédérale doivent depuis lors imputer les versements en sus du versement minimal soit au solde assorti du taux </w:t>
            </w:r>
            <w:r w:rsidRPr="006819C9">
              <w:rPr>
                <w:rFonts w:cs="Arial"/>
                <w:sz w:val="20"/>
                <w:szCs w:val="22"/>
              </w:rPr>
              <w:lastRenderedPageBreak/>
              <w:t>d’intérêt le plus élevé en premier, soit proportionnellement à chaque partie comportant un taux d’intérêt différent par rapport au solde total à payer.</w:t>
            </w:r>
          </w:p>
        </w:tc>
        <w:tc>
          <w:tcPr>
            <w:tcW w:w="5850" w:type="dxa"/>
          </w:tcPr>
          <w:p w:rsidR="00B16F5B" w:rsidRPr="006819C9" w:rsidRDefault="00B16F5B" w:rsidP="00B16F5B">
            <w:pPr>
              <w:spacing w:before="120" w:after="120"/>
              <w:jc w:val="both"/>
              <w:rPr>
                <w:rFonts w:cs="Arial"/>
                <w:sz w:val="20"/>
                <w:szCs w:val="22"/>
              </w:rPr>
            </w:pPr>
            <w:r w:rsidRPr="006819C9">
              <w:rPr>
                <w:rFonts w:eastAsia="Calibri" w:cs="Arial"/>
                <w:bCs/>
                <w:color w:val="000000"/>
                <w:sz w:val="20"/>
                <w:szCs w:val="22"/>
                <w:u w:val="single"/>
              </w:rPr>
              <w:lastRenderedPageBreak/>
              <w:t>Imputation des versements</w:t>
            </w:r>
            <w:r w:rsidRPr="006819C9">
              <w:rPr>
                <w:rFonts w:eastAsia="Calibri" w:cs="Arial"/>
                <w:bCs/>
                <w:color w:val="000000"/>
                <w:sz w:val="20"/>
                <w:szCs w:val="22"/>
              </w:rPr>
              <w:t xml:space="preserve"> : obligation d’imputer le </w:t>
            </w:r>
            <w:r w:rsidRPr="006819C9">
              <w:rPr>
                <w:rFonts w:cs="Arial"/>
                <w:sz w:val="20"/>
                <w:szCs w:val="22"/>
              </w:rPr>
              <w:t xml:space="preserve">versement d’abord sur la dette portant le taux de crédit le plus élevé puis sur les autres dettes par ordre décroissant de taux de crédit ou, si le taux de crédit est identique, sur chacune des sommes dues, dans la proportion qu’elles représentent par rapport au solde impayé. </w:t>
            </w:r>
          </w:p>
          <w:p w:rsidR="00B16F5B" w:rsidRPr="006819C9" w:rsidRDefault="00B16F5B" w:rsidP="00B16F5B">
            <w:pPr>
              <w:spacing w:before="120" w:after="120"/>
              <w:jc w:val="both"/>
              <w:rPr>
                <w:rFonts w:cs="Arial"/>
                <w:sz w:val="20"/>
                <w:szCs w:val="22"/>
              </w:rPr>
            </w:pPr>
            <w:r>
              <w:rPr>
                <w:rFonts w:cs="Arial"/>
                <w:sz w:val="20"/>
                <w:szCs w:val="22"/>
              </w:rPr>
              <w:lastRenderedPageBreak/>
              <w:t>Précision que l</w:t>
            </w:r>
            <w:r w:rsidRPr="006819C9">
              <w:rPr>
                <w:rFonts w:cs="Arial"/>
                <w:sz w:val="20"/>
                <w:szCs w:val="22"/>
              </w:rPr>
              <w:t>’obligation ne s’applique pas au versement requis pour une dette dont le montant des versements est déterminé suivant des modalités particulières.</w:t>
            </w:r>
          </w:p>
        </w:tc>
        <w:tc>
          <w:tcPr>
            <w:tcW w:w="5400" w:type="dxa"/>
          </w:tcPr>
          <w:p w:rsidR="00B16F5B" w:rsidRPr="00C83C05" w:rsidRDefault="00B16F5B" w:rsidP="00B16F5B">
            <w:pPr>
              <w:spacing w:before="120" w:after="120"/>
              <w:jc w:val="both"/>
              <w:rPr>
                <w:rFonts w:cs="Arial"/>
                <w:sz w:val="20"/>
                <w:szCs w:val="22"/>
              </w:rPr>
            </w:pPr>
          </w:p>
        </w:tc>
      </w:tr>
      <w:tr w:rsidR="00B16F5B" w:rsidRPr="006819C9" w:rsidTr="00B16F5B">
        <w:trPr>
          <w:trHeight w:val="1745"/>
        </w:trPr>
        <w:tc>
          <w:tcPr>
            <w:tcW w:w="630" w:type="dxa"/>
            <w:vAlign w:val="center"/>
          </w:tcPr>
          <w:p w:rsidR="00B16F5B" w:rsidRPr="006819C9" w:rsidRDefault="00D1080A" w:rsidP="00B16F5B">
            <w:pPr>
              <w:spacing w:before="120"/>
              <w:jc w:val="center"/>
              <w:rPr>
                <w:rFonts w:cs="Arial"/>
                <w:sz w:val="20"/>
                <w:szCs w:val="22"/>
              </w:rPr>
            </w:pPr>
            <w:r>
              <w:rPr>
                <w:rFonts w:cs="Arial"/>
                <w:sz w:val="20"/>
                <w:szCs w:val="22"/>
              </w:rPr>
              <w:t>3</w:t>
            </w:r>
            <w:r w:rsidR="003B32C6">
              <w:rPr>
                <w:rFonts w:cs="Arial"/>
                <w:sz w:val="20"/>
                <w:szCs w:val="22"/>
              </w:rPr>
              <w:t>5</w:t>
            </w:r>
          </w:p>
        </w:tc>
        <w:tc>
          <w:tcPr>
            <w:tcW w:w="1260" w:type="dxa"/>
            <w:vAlign w:val="center"/>
          </w:tcPr>
          <w:p w:rsidR="00B16F5B" w:rsidRPr="006819C9" w:rsidRDefault="00B16F5B" w:rsidP="00B16F5B">
            <w:pPr>
              <w:spacing w:before="120"/>
              <w:jc w:val="center"/>
              <w:rPr>
                <w:rFonts w:cs="Arial"/>
                <w:sz w:val="20"/>
                <w:szCs w:val="22"/>
              </w:rPr>
            </w:pPr>
            <w:r w:rsidRPr="000A5846">
              <w:rPr>
                <w:rFonts w:cs="Arial"/>
                <w:sz w:val="20"/>
                <w:szCs w:val="22"/>
              </w:rPr>
              <w:t>103</w:t>
            </w:r>
            <w:proofErr w:type="gramStart"/>
            <w:r w:rsidRPr="000A5846">
              <w:rPr>
                <w:rFonts w:cs="Arial"/>
                <w:sz w:val="20"/>
                <w:szCs w:val="22"/>
              </w:rPr>
              <w:t>.X</w:t>
            </w:r>
            <w:proofErr w:type="gramEnd"/>
            <w:r w:rsidRPr="000A5846">
              <w:rPr>
                <w:rFonts w:cs="Arial"/>
                <w:sz w:val="20"/>
                <w:szCs w:val="22"/>
              </w:rPr>
              <w:t xml:space="preserve"> LPC</w:t>
            </w:r>
          </w:p>
        </w:tc>
        <w:tc>
          <w:tcPr>
            <w:tcW w:w="6480" w:type="dxa"/>
          </w:tcPr>
          <w:p w:rsidR="00B16F5B" w:rsidRPr="006819C9" w:rsidRDefault="00B16F5B" w:rsidP="000F164A">
            <w:pPr>
              <w:spacing w:before="120" w:after="120"/>
              <w:jc w:val="both"/>
              <w:rPr>
                <w:rFonts w:eastAsia="Calibri" w:cs="Arial"/>
                <w:sz w:val="20"/>
                <w:szCs w:val="22"/>
              </w:rPr>
            </w:pPr>
            <w:r>
              <w:rPr>
                <w:rFonts w:eastAsia="Calibri" w:cs="Arial"/>
                <w:sz w:val="20"/>
                <w:szCs w:val="22"/>
              </w:rPr>
              <w:t xml:space="preserve">Actuellement, la LPC </w:t>
            </w:r>
            <w:r w:rsidRPr="006819C9">
              <w:rPr>
                <w:rFonts w:eastAsia="Calibri" w:cs="Arial"/>
                <w:sz w:val="20"/>
                <w:szCs w:val="22"/>
              </w:rPr>
              <w:t xml:space="preserve">permet au consommateur, qui est en défaut de respecter ses obligations et qui a reçu un avis de déchéance du bénéfice du terme, de demander au tribunal de modifier les modalités de paiement relatives à un contrat de crédit. Le consommateur devrait pouvoir également demander au tribunal de modifier les modalités de paiement </w:t>
            </w:r>
            <w:r>
              <w:rPr>
                <w:rFonts w:eastAsia="Calibri" w:cs="Arial"/>
                <w:sz w:val="20"/>
                <w:szCs w:val="22"/>
              </w:rPr>
              <w:t>lorsqu</w:t>
            </w:r>
            <w:r w:rsidR="000F164A">
              <w:rPr>
                <w:rFonts w:eastAsia="Calibri" w:cs="Arial"/>
                <w:sz w:val="20"/>
                <w:szCs w:val="22"/>
              </w:rPr>
              <w:t xml:space="preserve">’il </w:t>
            </w:r>
            <w:r>
              <w:rPr>
                <w:rFonts w:eastAsia="Calibri" w:cs="Arial"/>
                <w:sz w:val="20"/>
                <w:szCs w:val="22"/>
              </w:rPr>
              <w:t>est dans une situation qui entraîne un changement significatif dans ses revenus et dépenses.</w:t>
            </w:r>
          </w:p>
        </w:tc>
        <w:tc>
          <w:tcPr>
            <w:tcW w:w="5850" w:type="dxa"/>
          </w:tcPr>
          <w:p w:rsidR="00B16F5B" w:rsidRPr="00F520B7" w:rsidRDefault="00B16F5B" w:rsidP="00B16F5B">
            <w:pPr>
              <w:spacing w:before="120" w:after="120"/>
              <w:jc w:val="both"/>
              <w:rPr>
                <w:rFonts w:cs="Arial"/>
                <w:sz w:val="20"/>
                <w:szCs w:val="22"/>
              </w:rPr>
            </w:pPr>
            <w:r>
              <w:rPr>
                <w:rFonts w:cs="Arial"/>
                <w:sz w:val="20"/>
                <w:szCs w:val="22"/>
                <w:u w:val="single"/>
              </w:rPr>
              <w:t>Modification des modalités de paiement</w:t>
            </w:r>
            <w:r w:rsidRPr="008A2CC8">
              <w:rPr>
                <w:rFonts w:cs="Arial"/>
                <w:sz w:val="20"/>
                <w:szCs w:val="22"/>
              </w:rPr>
              <w:t xml:space="preserve"> :</w:t>
            </w:r>
            <w:r w:rsidRPr="00F520B7">
              <w:rPr>
                <w:rFonts w:cs="Arial"/>
                <w:sz w:val="20"/>
                <w:szCs w:val="22"/>
              </w:rPr>
              <w:t xml:space="preserve"> possibilité pour le consommateur de demander au tribunal de modifier les modalités de paiement d’un contrat de crédit s’il n’est plus en mesure de respecte</w:t>
            </w:r>
            <w:r>
              <w:rPr>
                <w:rFonts w:cs="Arial"/>
                <w:sz w:val="20"/>
                <w:szCs w:val="22"/>
              </w:rPr>
              <w:t>r ces modalités en raison d’une</w:t>
            </w:r>
            <w:r w:rsidRPr="006C7AA3">
              <w:rPr>
                <w:rFonts w:cs="Arial"/>
                <w:sz w:val="20"/>
                <w:szCs w:val="22"/>
              </w:rPr>
              <w:t xml:space="preserve"> situation qui entraîne un changement significatif dans ses revenus et dépenses</w:t>
            </w:r>
            <w:r w:rsidRPr="00F520B7">
              <w:rPr>
                <w:rFonts w:cs="Arial"/>
                <w:sz w:val="20"/>
                <w:szCs w:val="22"/>
              </w:rPr>
              <w:t xml:space="preserve">, à la condition que le consommateur ne soit pas déjà en défaut au moment de la survenance </w:t>
            </w:r>
            <w:r>
              <w:rPr>
                <w:rFonts w:cs="Arial"/>
                <w:sz w:val="20"/>
                <w:szCs w:val="22"/>
              </w:rPr>
              <w:t>de cette situation</w:t>
            </w:r>
            <w:r w:rsidRPr="00F520B7">
              <w:rPr>
                <w:rFonts w:cs="Arial"/>
                <w:sz w:val="20"/>
                <w:szCs w:val="22"/>
              </w:rPr>
              <w:t>. </w:t>
            </w:r>
          </w:p>
        </w:tc>
        <w:tc>
          <w:tcPr>
            <w:tcW w:w="5400" w:type="dxa"/>
          </w:tcPr>
          <w:p w:rsidR="00B16F5B" w:rsidRPr="00C83C05" w:rsidRDefault="00B16F5B" w:rsidP="00B16F5B">
            <w:pPr>
              <w:spacing w:before="120" w:after="120"/>
              <w:jc w:val="both"/>
              <w:rPr>
                <w:rFonts w:cs="Arial"/>
                <w:sz w:val="20"/>
                <w:szCs w:val="22"/>
              </w:rPr>
            </w:pPr>
          </w:p>
        </w:tc>
      </w:tr>
      <w:tr w:rsidR="00D73FAB" w:rsidRPr="006819C9" w:rsidTr="00D73FAB">
        <w:trPr>
          <w:trHeight w:val="75"/>
        </w:trPr>
        <w:tc>
          <w:tcPr>
            <w:tcW w:w="630" w:type="dxa"/>
            <w:vAlign w:val="center"/>
          </w:tcPr>
          <w:p w:rsidR="00D73FAB" w:rsidRDefault="00D73FAB" w:rsidP="00B16F5B">
            <w:pPr>
              <w:spacing w:before="120"/>
              <w:jc w:val="center"/>
              <w:rPr>
                <w:rFonts w:cs="Arial"/>
                <w:sz w:val="20"/>
                <w:szCs w:val="22"/>
              </w:rPr>
            </w:pPr>
          </w:p>
        </w:tc>
        <w:tc>
          <w:tcPr>
            <w:tcW w:w="1260" w:type="dxa"/>
            <w:vAlign w:val="center"/>
          </w:tcPr>
          <w:p w:rsidR="00D73FAB" w:rsidRPr="000A5846" w:rsidRDefault="00D73FAB" w:rsidP="00B16F5B">
            <w:pPr>
              <w:spacing w:before="120"/>
              <w:jc w:val="center"/>
              <w:rPr>
                <w:rFonts w:cs="Arial"/>
                <w:sz w:val="20"/>
                <w:szCs w:val="22"/>
              </w:rPr>
            </w:pPr>
          </w:p>
        </w:tc>
        <w:tc>
          <w:tcPr>
            <w:tcW w:w="6480" w:type="dxa"/>
          </w:tcPr>
          <w:p w:rsidR="00D73FAB" w:rsidRDefault="00D73FAB" w:rsidP="000F164A">
            <w:pPr>
              <w:spacing w:before="120" w:after="120"/>
              <w:jc w:val="both"/>
              <w:rPr>
                <w:rFonts w:eastAsia="Calibri" w:cs="Arial"/>
                <w:sz w:val="20"/>
                <w:szCs w:val="22"/>
              </w:rPr>
            </w:pPr>
          </w:p>
        </w:tc>
        <w:tc>
          <w:tcPr>
            <w:tcW w:w="5850" w:type="dxa"/>
          </w:tcPr>
          <w:p w:rsidR="00D73FAB" w:rsidRDefault="00D73FAB" w:rsidP="00B16F5B">
            <w:pPr>
              <w:spacing w:before="120" w:after="120"/>
              <w:jc w:val="both"/>
              <w:rPr>
                <w:rFonts w:cs="Arial"/>
                <w:sz w:val="20"/>
                <w:szCs w:val="22"/>
                <w:u w:val="single"/>
              </w:rPr>
            </w:pPr>
          </w:p>
        </w:tc>
        <w:tc>
          <w:tcPr>
            <w:tcW w:w="5400" w:type="dxa"/>
          </w:tcPr>
          <w:p w:rsidR="00D73FAB" w:rsidRPr="00C83C05" w:rsidRDefault="00D73FAB" w:rsidP="00B16F5B">
            <w:pPr>
              <w:spacing w:before="120" w:after="120"/>
              <w:jc w:val="both"/>
              <w:rPr>
                <w:rFonts w:cs="Arial"/>
                <w:sz w:val="20"/>
                <w:szCs w:val="22"/>
              </w:rPr>
            </w:pPr>
          </w:p>
        </w:tc>
      </w:tr>
      <w:tr w:rsidR="00D73FAB" w:rsidRPr="006819C9" w:rsidTr="00D73FAB">
        <w:trPr>
          <w:trHeight w:val="75"/>
        </w:trPr>
        <w:tc>
          <w:tcPr>
            <w:tcW w:w="630" w:type="dxa"/>
            <w:vAlign w:val="center"/>
          </w:tcPr>
          <w:p w:rsidR="00D73FAB" w:rsidRDefault="00D73FAB" w:rsidP="00B16F5B">
            <w:pPr>
              <w:spacing w:before="120"/>
              <w:jc w:val="center"/>
              <w:rPr>
                <w:rFonts w:cs="Arial"/>
                <w:sz w:val="20"/>
                <w:szCs w:val="22"/>
              </w:rPr>
            </w:pPr>
          </w:p>
        </w:tc>
        <w:tc>
          <w:tcPr>
            <w:tcW w:w="1260" w:type="dxa"/>
            <w:vAlign w:val="center"/>
          </w:tcPr>
          <w:p w:rsidR="00D73FAB" w:rsidRPr="000A5846" w:rsidRDefault="00D73FAB" w:rsidP="00B16F5B">
            <w:pPr>
              <w:spacing w:before="120"/>
              <w:jc w:val="center"/>
              <w:rPr>
                <w:rFonts w:cs="Arial"/>
                <w:sz w:val="20"/>
                <w:szCs w:val="22"/>
              </w:rPr>
            </w:pPr>
          </w:p>
        </w:tc>
        <w:tc>
          <w:tcPr>
            <w:tcW w:w="6480" w:type="dxa"/>
          </w:tcPr>
          <w:p w:rsidR="00D73FAB" w:rsidRDefault="00D73FAB" w:rsidP="000F164A">
            <w:pPr>
              <w:spacing w:before="120" w:after="120"/>
              <w:jc w:val="both"/>
              <w:rPr>
                <w:rFonts w:eastAsia="Calibri" w:cs="Arial"/>
                <w:sz w:val="20"/>
                <w:szCs w:val="22"/>
              </w:rPr>
            </w:pPr>
          </w:p>
        </w:tc>
        <w:tc>
          <w:tcPr>
            <w:tcW w:w="5850" w:type="dxa"/>
          </w:tcPr>
          <w:p w:rsidR="00D73FAB" w:rsidRDefault="00D73FAB" w:rsidP="00B16F5B">
            <w:pPr>
              <w:spacing w:before="120" w:after="120"/>
              <w:jc w:val="both"/>
              <w:rPr>
                <w:rFonts w:cs="Arial"/>
                <w:sz w:val="20"/>
                <w:szCs w:val="22"/>
                <w:u w:val="single"/>
              </w:rPr>
            </w:pPr>
          </w:p>
        </w:tc>
        <w:tc>
          <w:tcPr>
            <w:tcW w:w="5400" w:type="dxa"/>
          </w:tcPr>
          <w:p w:rsidR="00D73FAB" w:rsidRPr="00C83C05" w:rsidRDefault="00D73FAB" w:rsidP="00B16F5B">
            <w:pPr>
              <w:spacing w:before="120" w:after="120"/>
              <w:jc w:val="both"/>
              <w:rPr>
                <w:rFonts w:cs="Arial"/>
                <w:sz w:val="20"/>
                <w:szCs w:val="22"/>
              </w:rPr>
            </w:pPr>
          </w:p>
        </w:tc>
      </w:tr>
    </w:tbl>
    <w:p w:rsidR="00FD7987" w:rsidRPr="00434009" w:rsidRDefault="00FD7987" w:rsidP="00B62265">
      <w:pPr>
        <w:autoSpaceDE w:val="0"/>
        <w:autoSpaceDN w:val="0"/>
        <w:adjustRightInd w:val="0"/>
        <w:spacing w:before="120" w:after="120"/>
        <w:jc w:val="both"/>
        <w:rPr>
          <w:rFonts w:cs="Arial"/>
          <w:b/>
          <w:color w:val="000000"/>
          <w:sz w:val="20"/>
          <w:szCs w:val="22"/>
        </w:rPr>
      </w:pPr>
    </w:p>
    <w:p w:rsidR="00D203C6" w:rsidRPr="00B21BA4" w:rsidRDefault="00B21BA4" w:rsidP="00B21BA4">
      <w:pPr>
        <w:pStyle w:val="Titre2"/>
      </w:pPr>
      <w:bookmarkStart w:id="4" w:name="_Toc536006785"/>
      <w:r w:rsidRPr="00B21BA4">
        <w:t>Contrat de crédit – dispositions générales</w:t>
      </w:r>
      <w:bookmarkEnd w:id="4"/>
    </w:p>
    <w:tbl>
      <w:tblPr>
        <w:tblW w:w="196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260"/>
        <w:gridCol w:w="6480"/>
        <w:gridCol w:w="5940"/>
        <w:gridCol w:w="5310"/>
      </w:tblGrid>
      <w:tr w:rsidR="00424D61" w:rsidRPr="000D6902" w:rsidTr="000D6902">
        <w:trPr>
          <w:trHeight w:val="978"/>
          <w:tblHeader/>
        </w:trPr>
        <w:tc>
          <w:tcPr>
            <w:tcW w:w="630" w:type="dxa"/>
            <w:shd w:val="clear" w:color="auto" w:fill="EEECE1" w:themeFill="background2"/>
            <w:vAlign w:val="center"/>
          </w:tcPr>
          <w:p w:rsidR="00424D61" w:rsidRPr="00A00D8A" w:rsidRDefault="00424D61" w:rsidP="000D6902">
            <w:pPr>
              <w:spacing w:before="120" w:after="120"/>
              <w:jc w:val="center"/>
              <w:rPr>
                <w:rFonts w:cs="Arial"/>
                <w:b/>
                <w:bCs/>
                <w:sz w:val="20"/>
                <w:szCs w:val="22"/>
              </w:rPr>
            </w:pPr>
            <w:r>
              <w:rPr>
                <w:rFonts w:cs="Arial"/>
                <w:b/>
                <w:bCs/>
                <w:sz w:val="20"/>
                <w:szCs w:val="22"/>
              </w:rPr>
              <w:t>NO</w:t>
            </w:r>
          </w:p>
        </w:tc>
        <w:tc>
          <w:tcPr>
            <w:tcW w:w="1260" w:type="dxa"/>
            <w:shd w:val="clear" w:color="auto" w:fill="EEECE1" w:themeFill="background2"/>
            <w:vAlign w:val="center"/>
          </w:tcPr>
          <w:p w:rsidR="00424D61" w:rsidRPr="00A00D8A" w:rsidRDefault="00424D61" w:rsidP="000D6902">
            <w:pPr>
              <w:spacing w:before="120" w:after="120"/>
              <w:jc w:val="center"/>
              <w:rPr>
                <w:rFonts w:cs="Arial"/>
                <w:b/>
                <w:bCs/>
                <w:sz w:val="20"/>
                <w:szCs w:val="22"/>
              </w:rPr>
            </w:pPr>
            <w:r w:rsidRPr="00A00D8A">
              <w:rPr>
                <w:rFonts w:cs="Arial"/>
                <w:b/>
                <w:bCs/>
                <w:sz w:val="20"/>
                <w:szCs w:val="22"/>
              </w:rPr>
              <w:t>ARTICLES</w:t>
            </w:r>
          </w:p>
        </w:tc>
        <w:tc>
          <w:tcPr>
            <w:tcW w:w="6480" w:type="dxa"/>
            <w:shd w:val="clear" w:color="auto" w:fill="EEECE1" w:themeFill="background2"/>
            <w:vAlign w:val="center"/>
          </w:tcPr>
          <w:p w:rsidR="00424D61" w:rsidRPr="00434009" w:rsidRDefault="00424D61" w:rsidP="002450CD">
            <w:pPr>
              <w:spacing w:before="120" w:after="120"/>
              <w:jc w:val="center"/>
              <w:rPr>
                <w:rFonts w:cs="Arial"/>
                <w:b/>
                <w:bCs/>
                <w:sz w:val="20"/>
                <w:szCs w:val="22"/>
              </w:rPr>
            </w:pPr>
            <w:r>
              <w:rPr>
                <w:rFonts w:cs="Arial"/>
                <w:b/>
                <w:bCs/>
                <w:sz w:val="20"/>
                <w:szCs w:val="22"/>
              </w:rPr>
              <w:t>PROBLÉMATIQUE</w:t>
            </w:r>
          </w:p>
        </w:tc>
        <w:tc>
          <w:tcPr>
            <w:tcW w:w="5940" w:type="dxa"/>
            <w:shd w:val="clear" w:color="auto" w:fill="EEECE1" w:themeFill="background2"/>
            <w:vAlign w:val="center"/>
          </w:tcPr>
          <w:p w:rsidR="00424D61" w:rsidRPr="00434009" w:rsidRDefault="00424D61" w:rsidP="002450CD">
            <w:pPr>
              <w:spacing w:before="120" w:after="120"/>
              <w:jc w:val="center"/>
              <w:rPr>
                <w:rFonts w:cs="Arial"/>
                <w:b/>
                <w:bCs/>
                <w:sz w:val="20"/>
                <w:szCs w:val="22"/>
              </w:rPr>
            </w:pPr>
            <w:r>
              <w:rPr>
                <w:rFonts w:cs="Arial"/>
                <w:b/>
                <w:bCs/>
                <w:sz w:val="20"/>
                <w:szCs w:val="22"/>
              </w:rPr>
              <w:t>MESURE</w:t>
            </w:r>
          </w:p>
        </w:tc>
        <w:tc>
          <w:tcPr>
            <w:tcW w:w="5310" w:type="dxa"/>
            <w:shd w:val="clear" w:color="auto" w:fill="EEECE1" w:themeFill="background2"/>
            <w:vAlign w:val="center"/>
          </w:tcPr>
          <w:p w:rsidR="00424D61" w:rsidRDefault="00663A4D" w:rsidP="002450CD">
            <w:pPr>
              <w:spacing w:before="120" w:after="120"/>
              <w:jc w:val="center"/>
              <w:rPr>
                <w:rFonts w:cs="Arial"/>
                <w:b/>
                <w:bCs/>
                <w:sz w:val="20"/>
                <w:szCs w:val="22"/>
              </w:rPr>
            </w:pPr>
            <w:r>
              <w:rPr>
                <w:rFonts w:cs="Arial"/>
                <w:b/>
                <w:bCs/>
                <w:sz w:val="20"/>
                <w:szCs w:val="22"/>
              </w:rPr>
              <w:t>COMMENTAIRES</w:t>
            </w:r>
          </w:p>
        </w:tc>
      </w:tr>
      <w:tr w:rsidR="008166C4" w:rsidRPr="00434009" w:rsidTr="00424D61">
        <w:tc>
          <w:tcPr>
            <w:tcW w:w="630" w:type="dxa"/>
            <w:vAlign w:val="center"/>
          </w:tcPr>
          <w:p w:rsidR="008166C4" w:rsidRPr="00A00D8A" w:rsidRDefault="007E337B" w:rsidP="008166C4">
            <w:pPr>
              <w:spacing w:before="120"/>
              <w:jc w:val="center"/>
              <w:rPr>
                <w:rFonts w:cs="Arial"/>
                <w:sz w:val="20"/>
                <w:szCs w:val="22"/>
              </w:rPr>
            </w:pPr>
            <w:r>
              <w:rPr>
                <w:rFonts w:cs="Arial"/>
                <w:sz w:val="20"/>
                <w:szCs w:val="22"/>
              </w:rPr>
              <w:t>3</w:t>
            </w:r>
            <w:r w:rsidR="003B32C6">
              <w:rPr>
                <w:rFonts w:cs="Arial"/>
                <w:sz w:val="20"/>
                <w:szCs w:val="22"/>
              </w:rPr>
              <w:t>6</w:t>
            </w:r>
          </w:p>
        </w:tc>
        <w:tc>
          <w:tcPr>
            <w:tcW w:w="1260" w:type="dxa"/>
            <w:vAlign w:val="center"/>
          </w:tcPr>
          <w:p w:rsidR="008166C4" w:rsidRPr="00A00D8A" w:rsidRDefault="008166C4" w:rsidP="008166C4">
            <w:pPr>
              <w:spacing w:before="120"/>
              <w:jc w:val="center"/>
              <w:rPr>
                <w:rFonts w:cs="Arial"/>
                <w:sz w:val="20"/>
                <w:szCs w:val="22"/>
              </w:rPr>
            </w:pPr>
            <w:r w:rsidRPr="00A00D8A">
              <w:rPr>
                <w:rFonts w:cs="Arial"/>
                <w:sz w:val="20"/>
                <w:szCs w:val="22"/>
              </w:rPr>
              <w:t>32 LPC</w:t>
            </w:r>
          </w:p>
        </w:tc>
        <w:tc>
          <w:tcPr>
            <w:tcW w:w="6480" w:type="dxa"/>
          </w:tcPr>
          <w:p w:rsidR="008166C4" w:rsidRPr="00434009" w:rsidRDefault="008166C4" w:rsidP="008166C4">
            <w:pPr>
              <w:spacing w:before="120" w:after="120"/>
              <w:jc w:val="both"/>
              <w:rPr>
                <w:rFonts w:cs="Arial"/>
                <w:sz w:val="20"/>
                <w:szCs w:val="22"/>
              </w:rPr>
            </w:pPr>
            <w:r w:rsidRPr="00434009">
              <w:rPr>
                <w:rFonts w:cs="Arial"/>
                <w:sz w:val="20"/>
                <w:szCs w:val="22"/>
              </w:rPr>
              <w:t xml:space="preserve">Actuellement, le commerçant doit obligatoirement remettre au consommateur un double du contrat de crédit après qu’il ait été signé. Certains consommateurs achètent des biens et, pour ce faire, concluent un contrat de crédit en vue de financer l’achat. Or, il arrive que des consommateurs n’obtiennent pas une copie de l’ensemble des documents signés qui sont en lien avec l’achat qui a été financé. En cas </w:t>
            </w:r>
            <w:r w:rsidRPr="00434009">
              <w:rPr>
                <w:rFonts w:cs="Arial"/>
                <w:sz w:val="20"/>
                <w:szCs w:val="22"/>
              </w:rPr>
              <w:lastRenderedPageBreak/>
              <w:t>de litige, il pourra s’avérer difficile pour le consommateur de prouver certaines des conditions  convenues.</w:t>
            </w:r>
          </w:p>
        </w:tc>
        <w:tc>
          <w:tcPr>
            <w:tcW w:w="5940" w:type="dxa"/>
          </w:tcPr>
          <w:p w:rsidR="008166C4" w:rsidRPr="00434009" w:rsidRDefault="008166C4" w:rsidP="008166C4">
            <w:pPr>
              <w:spacing w:before="120" w:after="120"/>
              <w:jc w:val="both"/>
              <w:rPr>
                <w:rFonts w:cs="Arial"/>
                <w:sz w:val="20"/>
                <w:szCs w:val="22"/>
              </w:rPr>
            </w:pPr>
            <w:r w:rsidRPr="00434009">
              <w:rPr>
                <w:rFonts w:cs="Arial"/>
                <w:sz w:val="20"/>
                <w:szCs w:val="22"/>
                <w:u w:val="single"/>
              </w:rPr>
              <w:lastRenderedPageBreak/>
              <w:t>Remise des documents contractuels</w:t>
            </w:r>
            <w:r w:rsidRPr="00434009">
              <w:rPr>
                <w:rFonts w:cs="Arial"/>
                <w:sz w:val="20"/>
                <w:szCs w:val="22"/>
              </w:rPr>
              <w:t> : obligation, pour les contrats pour lesquels la loi exige qu’il soit signé</w:t>
            </w:r>
            <w:r>
              <w:rPr>
                <w:rFonts w:cs="Arial"/>
                <w:sz w:val="20"/>
                <w:szCs w:val="22"/>
              </w:rPr>
              <w:t>,</w:t>
            </w:r>
            <w:r w:rsidRPr="00434009">
              <w:rPr>
                <w:rFonts w:cs="Arial"/>
                <w:sz w:val="20"/>
                <w:szCs w:val="22"/>
              </w:rPr>
              <w:t xml:space="preserve"> incluant le contrat de crédit, de remettre une copie de tous les documents signés par le consommateur. </w:t>
            </w:r>
          </w:p>
        </w:tc>
        <w:tc>
          <w:tcPr>
            <w:tcW w:w="5310" w:type="dxa"/>
          </w:tcPr>
          <w:p w:rsidR="008166C4" w:rsidRPr="00C83C05" w:rsidRDefault="008166C4" w:rsidP="008166C4">
            <w:pPr>
              <w:spacing w:before="120" w:after="120"/>
              <w:jc w:val="both"/>
              <w:rPr>
                <w:rFonts w:cs="Arial"/>
                <w:sz w:val="20"/>
                <w:szCs w:val="22"/>
              </w:rPr>
            </w:pPr>
          </w:p>
        </w:tc>
      </w:tr>
      <w:tr w:rsidR="008166C4" w:rsidRPr="006819C9" w:rsidTr="00424D61">
        <w:tc>
          <w:tcPr>
            <w:tcW w:w="630" w:type="dxa"/>
            <w:vAlign w:val="center"/>
          </w:tcPr>
          <w:p w:rsidR="008166C4" w:rsidRPr="006819C9" w:rsidRDefault="00D1080A" w:rsidP="008166C4">
            <w:pPr>
              <w:spacing w:before="120"/>
              <w:jc w:val="center"/>
              <w:rPr>
                <w:rFonts w:cs="Arial"/>
                <w:sz w:val="20"/>
                <w:szCs w:val="22"/>
              </w:rPr>
            </w:pPr>
            <w:r>
              <w:rPr>
                <w:rFonts w:cs="Arial"/>
                <w:sz w:val="20"/>
                <w:szCs w:val="22"/>
              </w:rPr>
              <w:t>3</w:t>
            </w:r>
            <w:r w:rsidR="003B32C6">
              <w:rPr>
                <w:rFonts w:cs="Arial"/>
                <w:sz w:val="20"/>
                <w:szCs w:val="22"/>
              </w:rPr>
              <w:t>7</w:t>
            </w:r>
          </w:p>
        </w:tc>
        <w:tc>
          <w:tcPr>
            <w:tcW w:w="1260" w:type="dxa"/>
            <w:vAlign w:val="center"/>
          </w:tcPr>
          <w:p w:rsidR="008166C4" w:rsidRPr="006819C9" w:rsidRDefault="008166C4" w:rsidP="008166C4">
            <w:pPr>
              <w:spacing w:before="120"/>
              <w:jc w:val="center"/>
              <w:rPr>
                <w:rFonts w:cs="Arial"/>
                <w:sz w:val="20"/>
                <w:szCs w:val="22"/>
              </w:rPr>
            </w:pPr>
            <w:r w:rsidRPr="000A5846">
              <w:rPr>
                <w:rFonts w:cs="Arial"/>
                <w:sz w:val="20"/>
                <w:szCs w:val="22"/>
              </w:rPr>
              <w:t>73 LPC</w:t>
            </w:r>
          </w:p>
        </w:tc>
        <w:tc>
          <w:tcPr>
            <w:tcW w:w="6480" w:type="dxa"/>
          </w:tcPr>
          <w:p w:rsidR="00BC4622" w:rsidRDefault="008166C4" w:rsidP="00BC4622">
            <w:pPr>
              <w:spacing w:before="120" w:after="120"/>
              <w:jc w:val="both"/>
              <w:rPr>
                <w:rFonts w:cs="Arial"/>
                <w:sz w:val="20"/>
                <w:szCs w:val="22"/>
              </w:rPr>
            </w:pPr>
            <w:r w:rsidRPr="006819C9">
              <w:rPr>
                <w:rFonts w:cs="Arial"/>
                <w:sz w:val="20"/>
                <w:szCs w:val="22"/>
              </w:rPr>
              <w:t xml:space="preserve">La LPC octroie une faculté de dédit au consommateur pour certains contrats de crédit à l’intérieur d’un délai de deux jours. Ce délai est court comparativement au délai de dix jours qui est accordé au consommateur qui a conclu un contrat avec un commerçant itinérant. </w:t>
            </w:r>
          </w:p>
          <w:p w:rsidR="008166C4" w:rsidRPr="006819C9" w:rsidRDefault="008166C4">
            <w:pPr>
              <w:spacing w:before="120" w:after="120"/>
              <w:jc w:val="both"/>
              <w:rPr>
                <w:rFonts w:cs="Arial"/>
                <w:sz w:val="20"/>
                <w:szCs w:val="22"/>
                <w:highlight w:val="yellow"/>
              </w:rPr>
            </w:pPr>
            <w:r w:rsidRPr="006819C9">
              <w:rPr>
                <w:rFonts w:cs="Arial"/>
                <w:sz w:val="20"/>
                <w:szCs w:val="22"/>
              </w:rPr>
              <w:t xml:space="preserve">Compte tenu de l’importance pour le consommateur de donner un consentement réfléchi à ce type de contrats, il serait approprié qu’un délai plus long lui soit accordé pour l’exercice de la faculté de dédit et d’étendre cette faculté </w:t>
            </w:r>
            <w:r>
              <w:rPr>
                <w:rFonts w:cs="Arial"/>
                <w:sz w:val="20"/>
                <w:szCs w:val="22"/>
              </w:rPr>
              <w:t>aux</w:t>
            </w:r>
            <w:r w:rsidRPr="006819C9">
              <w:rPr>
                <w:rFonts w:cs="Arial"/>
                <w:sz w:val="20"/>
                <w:szCs w:val="22"/>
              </w:rPr>
              <w:t xml:space="preserve"> contrats de crédit variable. Toutefois, pour ce qui est du contrat assorti d’un crédit, le délai devrait être limité à 2 jours afin qu’il demeure un délai de réflexion et non un délai d’essai du bien. </w:t>
            </w:r>
          </w:p>
        </w:tc>
        <w:tc>
          <w:tcPr>
            <w:tcW w:w="5940" w:type="dxa"/>
          </w:tcPr>
          <w:p w:rsidR="00752958" w:rsidRDefault="008166C4" w:rsidP="008166C4">
            <w:pPr>
              <w:spacing w:before="120" w:after="120"/>
              <w:jc w:val="both"/>
              <w:rPr>
                <w:rFonts w:cs="Arial"/>
                <w:sz w:val="20"/>
                <w:szCs w:val="22"/>
              </w:rPr>
            </w:pPr>
            <w:r w:rsidRPr="006819C9">
              <w:rPr>
                <w:rFonts w:cs="Arial"/>
                <w:sz w:val="20"/>
                <w:szCs w:val="22"/>
                <w:u w:val="single"/>
              </w:rPr>
              <w:t>Faculté de dédit</w:t>
            </w:r>
            <w:r w:rsidRPr="006819C9">
              <w:rPr>
                <w:rFonts w:cs="Arial"/>
                <w:sz w:val="20"/>
                <w:szCs w:val="22"/>
              </w:rPr>
              <w:t> :</w:t>
            </w:r>
          </w:p>
          <w:p w:rsidR="00752958" w:rsidRDefault="00752958" w:rsidP="00752958">
            <w:pPr>
              <w:pStyle w:val="Paragraphedeliste"/>
              <w:numPr>
                <w:ilvl w:val="0"/>
                <w:numId w:val="363"/>
              </w:numPr>
              <w:spacing w:before="120" w:after="120"/>
              <w:rPr>
                <w:rFonts w:cs="Arial"/>
                <w:sz w:val="20"/>
                <w:szCs w:val="22"/>
              </w:rPr>
            </w:pPr>
            <w:r w:rsidRPr="00976FF4">
              <w:rPr>
                <w:rFonts w:cs="Arial"/>
                <w:sz w:val="20"/>
                <w:szCs w:val="22"/>
                <w:u w:val="single"/>
              </w:rPr>
              <w:t>Contrat de prêt</w:t>
            </w:r>
            <w:r w:rsidRPr="00976FF4">
              <w:rPr>
                <w:rFonts w:cs="Arial"/>
                <w:sz w:val="20"/>
                <w:szCs w:val="22"/>
              </w:rPr>
              <w:t> :</w:t>
            </w:r>
            <w:r>
              <w:rPr>
                <w:rFonts w:cs="Arial"/>
                <w:sz w:val="20"/>
                <w:szCs w:val="22"/>
              </w:rPr>
              <w:t xml:space="preserve"> le délai de 2 jours, accordé actuellement au consommateur pour exercer son droit de résolution du contrat, est prolongé à 7 jours.</w:t>
            </w:r>
          </w:p>
          <w:p w:rsidR="00752958" w:rsidRDefault="00752958" w:rsidP="00752958">
            <w:pPr>
              <w:pStyle w:val="Paragraphedeliste"/>
              <w:numPr>
                <w:ilvl w:val="0"/>
                <w:numId w:val="363"/>
              </w:numPr>
              <w:spacing w:before="120" w:after="120"/>
              <w:rPr>
                <w:rFonts w:cs="Arial"/>
                <w:sz w:val="20"/>
                <w:szCs w:val="22"/>
              </w:rPr>
            </w:pPr>
            <w:r w:rsidRPr="00976FF4">
              <w:rPr>
                <w:rFonts w:cs="Arial"/>
                <w:sz w:val="20"/>
                <w:szCs w:val="22"/>
                <w:u w:val="single"/>
              </w:rPr>
              <w:t>Contrat de crédit variable</w:t>
            </w:r>
            <w:r w:rsidRPr="00976FF4">
              <w:rPr>
                <w:rFonts w:cs="Arial"/>
                <w:sz w:val="20"/>
                <w:szCs w:val="22"/>
              </w:rPr>
              <w:t> :</w:t>
            </w:r>
            <w:r>
              <w:rPr>
                <w:rFonts w:cs="Arial"/>
                <w:sz w:val="20"/>
                <w:szCs w:val="22"/>
              </w:rPr>
              <w:t xml:space="preserve"> octroi au consommateur d</w:t>
            </w:r>
            <w:r w:rsidR="008E26BD">
              <w:rPr>
                <w:rFonts w:cs="Arial"/>
                <w:sz w:val="20"/>
                <w:szCs w:val="22"/>
              </w:rPr>
              <w:t>’un droit de résolution du contrat de 7 jours.</w:t>
            </w:r>
          </w:p>
          <w:p w:rsidR="008E26BD" w:rsidRPr="00752958" w:rsidRDefault="008E26BD" w:rsidP="00752958">
            <w:pPr>
              <w:pStyle w:val="Paragraphedeliste"/>
              <w:numPr>
                <w:ilvl w:val="0"/>
                <w:numId w:val="363"/>
              </w:numPr>
              <w:spacing w:before="120" w:after="120"/>
              <w:rPr>
                <w:rFonts w:cs="Arial"/>
                <w:sz w:val="20"/>
                <w:szCs w:val="22"/>
              </w:rPr>
            </w:pPr>
            <w:r w:rsidRPr="00976FF4">
              <w:rPr>
                <w:rFonts w:cs="Arial"/>
                <w:sz w:val="20"/>
                <w:szCs w:val="22"/>
                <w:u w:val="single"/>
              </w:rPr>
              <w:t>Contrat assorti d’un crédit</w:t>
            </w:r>
            <w:r w:rsidRPr="00976FF4">
              <w:rPr>
                <w:rFonts w:cs="Arial"/>
                <w:sz w:val="20"/>
                <w:szCs w:val="22"/>
              </w:rPr>
              <w:t xml:space="preserve"> : </w:t>
            </w:r>
            <w:r>
              <w:rPr>
                <w:rFonts w:cs="Arial"/>
                <w:sz w:val="20"/>
                <w:szCs w:val="22"/>
              </w:rPr>
              <w:t>le délai de 2 jours, accordé actuellement au consommateur pour exercer son droit de résolution du contrat, est maintenu.</w:t>
            </w:r>
          </w:p>
          <w:p w:rsidR="008166C4" w:rsidRPr="006819C9" w:rsidRDefault="00F64C9B" w:rsidP="00976FF4">
            <w:pPr>
              <w:spacing w:before="120" w:after="120"/>
              <w:contextualSpacing/>
              <w:jc w:val="both"/>
              <w:rPr>
                <w:rFonts w:cs="Arial"/>
                <w:sz w:val="20"/>
                <w:szCs w:val="22"/>
                <w:lang w:eastAsia="fr-FR"/>
              </w:rPr>
            </w:pPr>
            <w:r>
              <w:rPr>
                <w:rFonts w:cs="Arial"/>
                <w:sz w:val="20"/>
                <w:szCs w:val="22"/>
                <w:lang w:eastAsia="fr-FR"/>
              </w:rPr>
              <w:t>Il est à noter que l</w:t>
            </w:r>
            <w:r w:rsidR="008E26BD">
              <w:rPr>
                <w:rFonts w:cs="Arial"/>
                <w:sz w:val="20"/>
                <w:szCs w:val="22"/>
                <w:lang w:eastAsia="fr-FR"/>
              </w:rPr>
              <w:t>’exemption actuellement prévue au Règlement d’application de la LPC, qui est applicable</w:t>
            </w:r>
            <w:r w:rsidR="008166C4" w:rsidRPr="006819C9">
              <w:rPr>
                <w:rFonts w:cs="Arial"/>
                <w:sz w:val="20"/>
                <w:szCs w:val="22"/>
                <w:lang w:eastAsia="fr-FR"/>
              </w:rPr>
              <w:t xml:space="preserve"> </w:t>
            </w:r>
            <w:r w:rsidR="00976FF4">
              <w:rPr>
                <w:rFonts w:cs="Arial"/>
                <w:sz w:val="20"/>
                <w:szCs w:val="22"/>
                <w:lang w:eastAsia="fr-FR"/>
              </w:rPr>
              <w:t>lorsque que le contrat assorti d’un crédit a pour objet une automobile neuve</w:t>
            </w:r>
            <w:r w:rsidR="008166C4" w:rsidRPr="006819C9">
              <w:rPr>
                <w:rFonts w:cs="Arial"/>
                <w:sz w:val="20"/>
                <w:szCs w:val="22"/>
                <w:lang w:eastAsia="fr-FR"/>
              </w:rPr>
              <w:t xml:space="preserve"> dont le consommateur a pris livraison</w:t>
            </w:r>
            <w:r w:rsidR="008E26BD">
              <w:rPr>
                <w:rFonts w:cs="Arial"/>
                <w:sz w:val="20"/>
                <w:szCs w:val="22"/>
                <w:lang w:eastAsia="fr-FR"/>
              </w:rPr>
              <w:t>, sera</w:t>
            </w:r>
            <w:r w:rsidR="00976FF4">
              <w:rPr>
                <w:rFonts w:cs="Arial"/>
                <w:sz w:val="20"/>
                <w:szCs w:val="22"/>
                <w:lang w:eastAsia="fr-FR"/>
              </w:rPr>
              <w:t xml:space="preserve"> étendue, à compter du 1</w:t>
            </w:r>
            <w:r w:rsidR="00976FF4" w:rsidRPr="00976FF4">
              <w:rPr>
                <w:rFonts w:cs="Arial"/>
                <w:sz w:val="20"/>
                <w:szCs w:val="22"/>
                <w:vertAlign w:val="superscript"/>
                <w:lang w:eastAsia="fr-FR"/>
              </w:rPr>
              <w:t>er</w:t>
            </w:r>
            <w:r w:rsidR="00976FF4">
              <w:rPr>
                <w:rFonts w:cs="Arial"/>
                <w:sz w:val="20"/>
                <w:szCs w:val="22"/>
                <w:lang w:eastAsia="fr-FR"/>
              </w:rPr>
              <w:t xml:space="preserve"> août 2019, au</w:t>
            </w:r>
            <w:r w:rsidR="00BC4622">
              <w:rPr>
                <w:rFonts w:cs="Arial"/>
                <w:sz w:val="20"/>
                <w:szCs w:val="22"/>
                <w:lang w:eastAsia="fr-FR"/>
              </w:rPr>
              <w:t>x autres</w:t>
            </w:r>
            <w:r w:rsidR="00976FF4">
              <w:rPr>
                <w:rFonts w:cs="Arial"/>
                <w:sz w:val="20"/>
                <w:szCs w:val="22"/>
                <w:lang w:eastAsia="fr-FR"/>
              </w:rPr>
              <w:t xml:space="preserve"> véhicule</w:t>
            </w:r>
            <w:r w:rsidR="00BC4622">
              <w:rPr>
                <w:rFonts w:cs="Arial"/>
                <w:sz w:val="20"/>
                <w:szCs w:val="22"/>
                <w:lang w:eastAsia="fr-FR"/>
              </w:rPr>
              <w:t>s</w:t>
            </w:r>
            <w:r w:rsidR="00976FF4">
              <w:rPr>
                <w:rFonts w:cs="Arial"/>
                <w:sz w:val="20"/>
                <w:szCs w:val="22"/>
                <w:lang w:eastAsia="fr-FR"/>
              </w:rPr>
              <w:t xml:space="preserve"> routier</w:t>
            </w:r>
            <w:r w:rsidR="00BC4622">
              <w:rPr>
                <w:rFonts w:cs="Arial"/>
                <w:sz w:val="20"/>
                <w:szCs w:val="22"/>
                <w:lang w:eastAsia="fr-FR"/>
              </w:rPr>
              <w:t>s</w:t>
            </w:r>
            <w:r w:rsidR="00F32EDD">
              <w:rPr>
                <w:rFonts w:cs="Arial"/>
                <w:sz w:val="20"/>
                <w:szCs w:val="22"/>
                <w:lang w:eastAsia="fr-FR"/>
              </w:rPr>
              <w:t xml:space="preserve"> neuf</w:t>
            </w:r>
            <w:r w:rsidR="00BC4622">
              <w:rPr>
                <w:rFonts w:cs="Arial"/>
                <w:sz w:val="20"/>
                <w:szCs w:val="22"/>
                <w:lang w:eastAsia="fr-FR"/>
              </w:rPr>
              <w:t>s</w:t>
            </w:r>
            <w:r w:rsidR="00976FF4">
              <w:rPr>
                <w:rFonts w:cs="Arial"/>
                <w:sz w:val="20"/>
                <w:szCs w:val="22"/>
                <w:lang w:eastAsia="fr-FR"/>
              </w:rPr>
              <w:t>.</w:t>
            </w:r>
          </w:p>
        </w:tc>
        <w:tc>
          <w:tcPr>
            <w:tcW w:w="5310" w:type="dxa"/>
          </w:tcPr>
          <w:p w:rsidR="007D1E76" w:rsidRPr="00C83C05" w:rsidRDefault="007D1E76" w:rsidP="007D1E76">
            <w:pPr>
              <w:spacing w:before="120" w:after="120"/>
              <w:jc w:val="both"/>
              <w:rPr>
                <w:rFonts w:cs="Arial"/>
                <w:sz w:val="20"/>
                <w:szCs w:val="22"/>
              </w:rPr>
            </w:pPr>
          </w:p>
        </w:tc>
      </w:tr>
      <w:tr w:rsidR="008166C4" w:rsidRPr="00434009" w:rsidTr="00424D61">
        <w:tc>
          <w:tcPr>
            <w:tcW w:w="630" w:type="dxa"/>
            <w:vAlign w:val="center"/>
          </w:tcPr>
          <w:p w:rsidR="008166C4" w:rsidRPr="00A00D8A" w:rsidRDefault="00D1080A" w:rsidP="008166C4">
            <w:pPr>
              <w:spacing w:before="120"/>
              <w:jc w:val="center"/>
              <w:rPr>
                <w:rFonts w:cs="Arial"/>
                <w:sz w:val="20"/>
                <w:szCs w:val="22"/>
              </w:rPr>
            </w:pPr>
            <w:r>
              <w:rPr>
                <w:rFonts w:cs="Arial"/>
                <w:sz w:val="20"/>
                <w:szCs w:val="22"/>
              </w:rPr>
              <w:t>3</w:t>
            </w:r>
            <w:r w:rsidR="003B32C6">
              <w:rPr>
                <w:rFonts w:cs="Arial"/>
                <w:sz w:val="20"/>
                <w:szCs w:val="22"/>
              </w:rPr>
              <w:t>8</w:t>
            </w:r>
          </w:p>
        </w:tc>
        <w:tc>
          <w:tcPr>
            <w:tcW w:w="1260" w:type="dxa"/>
            <w:vAlign w:val="center"/>
          </w:tcPr>
          <w:p w:rsidR="008166C4" w:rsidRPr="00A00D8A" w:rsidRDefault="008166C4" w:rsidP="008166C4">
            <w:pPr>
              <w:spacing w:before="120"/>
              <w:jc w:val="center"/>
              <w:rPr>
                <w:rFonts w:cs="Arial"/>
                <w:sz w:val="20"/>
                <w:szCs w:val="22"/>
              </w:rPr>
            </w:pPr>
            <w:r w:rsidRPr="00A00D8A">
              <w:rPr>
                <w:rFonts w:cs="Arial"/>
                <w:sz w:val="20"/>
                <w:szCs w:val="22"/>
              </w:rPr>
              <w:t xml:space="preserve">101, 150.12 </w:t>
            </w:r>
            <w:r>
              <w:rPr>
                <w:rFonts w:cs="Arial"/>
                <w:sz w:val="20"/>
                <w:szCs w:val="22"/>
              </w:rPr>
              <w:t>LPC</w:t>
            </w:r>
          </w:p>
        </w:tc>
        <w:tc>
          <w:tcPr>
            <w:tcW w:w="6480" w:type="dxa"/>
          </w:tcPr>
          <w:p w:rsidR="00BC4622" w:rsidRDefault="008166C4" w:rsidP="008166C4">
            <w:pPr>
              <w:spacing w:before="120" w:after="120"/>
              <w:jc w:val="both"/>
              <w:rPr>
                <w:rFonts w:cs="Arial"/>
                <w:sz w:val="20"/>
                <w:szCs w:val="22"/>
              </w:rPr>
            </w:pPr>
            <w:r w:rsidRPr="00434009">
              <w:rPr>
                <w:rFonts w:cs="Arial"/>
                <w:sz w:val="20"/>
                <w:szCs w:val="22"/>
              </w:rPr>
              <w:t xml:space="preserve">La LPC impose au commerçant l’obligation de remettre une quittance et tout objet ou document reçu en reconnaissance ou en garantie de la créance au consommateur qui a entièrement acquitté son obligation, mais elle est silencieuse sur le coût de ces formalités. La tradition et les habitudes commerciales font en sorte qu’elles sont généralement gratuites. Cette pratique pourrait être cristallisée par une obligation légale. </w:t>
            </w:r>
          </w:p>
          <w:p w:rsidR="008166C4" w:rsidRPr="00434009" w:rsidRDefault="008166C4" w:rsidP="008166C4">
            <w:pPr>
              <w:spacing w:before="120" w:after="120"/>
              <w:jc w:val="both"/>
              <w:rPr>
                <w:rFonts w:cs="Arial"/>
                <w:sz w:val="20"/>
                <w:szCs w:val="22"/>
              </w:rPr>
            </w:pPr>
            <w:r w:rsidRPr="00434009">
              <w:rPr>
                <w:rFonts w:cs="Arial"/>
                <w:sz w:val="20"/>
                <w:szCs w:val="22"/>
              </w:rPr>
              <w:t xml:space="preserve">La règle de gratuité proposée devrait toutefois continuer de ne pas s’appliquer lorsque la créance est garantie par une hypothèque immobilière en raison du coût des formalités requises dans ces cas. Par ailleurs, une nouvelle règle devrait obliger le commerçant à faire radier </w:t>
            </w:r>
            <w:r>
              <w:rPr>
                <w:rFonts w:cs="Arial"/>
                <w:sz w:val="20"/>
                <w:szCs w:val="22"/>
              </w:rPr>
              <w:t xml:space="preserve">à ses </w:t>
            </w:r>
            <w:proofErr w:type="gramStart"/>
            <w:r>
              <w:rPr>
                <w:rFonts w:cs="Arial"/>
                <w:sz w:val="20"/>
                <w:szCs w:val="22"/>
              </w:rPr>
              <w:t xml:space="preserve">frais </w:t>
            </w:r>
            <w:r w:rsidRPr="00434009">
              <w:rPr>
                <w:rFonts w:cs="Arial"/>
                <w:sz w:val="20"/>
                <w:szCs w:val="22"/>
              </w:rPr>
              <w:t>toute inscription</w:t>
            </w:r>
            <w:proofErr w:type="gramEnd"/>
            <w:r w:rsidRPr="00434009">
              <w:rPr>
                <w:rFonts w:cs="Arial"/>
                <w:sz w:val="20"/>
                <w:szCs w:val="22"/>
              </w:rPr>
              <w:t xml:space="preserve"> d’un droit se rapportant à l’obligation dont il donne quittance. </w:t>
            </w:r>
          </w:p>
        </w:tc>
        <w:tc>
          <w:tcPr>
            <w:tcW w:w="5940" w:type="dxa"/>
          </w:tcPr>
          <w:p w:rsidR="00E66798" w:rsidRPr="00ED356D" w:rsidRDefault="008166C4" w:rsidP="008166C4">
            <w:pPr>
              <w:spacing w:before="120" w:after="120"/>
              <w:jc w:val="both"/>
              <w:rPr>
                <w:rFonts w:cs="Arial"/>
                <w:sz w:val="20"/>
                <w:szCs w:val="22"/>
              </w:rPr>
            </w:pPr>
            <w:r w:rsidRPr="00ED356D">
              <w:rPr>
                <w:rFonts w:cs="Arial"/>
                <w:sz w:val="20"/>
                <w:szCs w:val="22"/>
                <w:u w:val="single"/>
              </w:rPr>
              <w:t>Quittance</w:t>
            </w:r>
            <w:r w:rsidRPr="00ED356D">
              <w:rPr>
                <w:rFonts w:cs="Arial"/>
                <w:sz w:val="20"/>
                <w:szCs w:val="22"/>
              </w:rPr>
              <w:t xml:space="preserve"> : dans le cas d’un contrat de prêt d’argent ou d’un contrat assorti d’un crédit, </w:t>
            </w:r>
            <w:r w:rsidR="001939F4" w:rsidRPr="00ED356D">
              <w:rPr>
                <w:rFonts w:cs="Arial"/>
                <w:sz w:val="20"/>
                <w:szCs w:val="22"/>
              </w:rPr>
              <w:t>lorsque</w:t>
            </w:r>
            <w:r w:rsidR="00531660" w:rsidRPr="00ED356D">
              <w:rPr>
                <w:rFonts w:cs="Arial"/>
                <w:sz w:val="20"/>
                <w:szCs w:val="22"/>
              </w:rPr>
              <w:t xml:space="preserve"> le consommateur acquitte la totalité de son obligation, le commerçant doit, dans un délai de 30 jours, </w:t>
            </w:r>
            <w:r w:rsidR="00E66798" w:rsidRPr="00ED356D">
              <w:rPr>
                <w:rFonts w:cs="Arial"/>
                <w:sz w:val="20"/>
                <w:szCs w:val="22"/>
              </w:rPr>
              <w:t>lui remettre une quittance et lui rendre tout bien ou titre détenu en garantie de cette obligation.</w:t>
            </w:r>
          </w:p>
          <w:p w:rsidR="008166C4" w:rsidRPr="00ED356D" w:rsidRDefault="00F64C9B" w:rsidP="008166C4">
            <w:pPr>
              <w:spacing w:before="120" w:after="120"/>
              <w:jc w:val="both"/>
              <w:rPr>
                <w:rFonts w:cs="Arial"/>
                <w:sz w:val="20"/>
                <w:szCs w:val="22"/>
              </w:rPr>
            </w:pPr>
            <w:r w:rsidRPr="00ED356D">
              <w:rPr>
                <w:rFonts w:cs="Arial"/>
                <w:sz w:val="20"/>
                <w:szCs w:val="22"/>
                <w:u w:val="single"/>
              </w:rPr>
              <w:t>Radiation</w:t>
            </w:r>
            <w:r w:rsidRPr="00ED356D">
              <w:rPr>
                <w:rFonts w:cs="Arial"/>
                <w:sz w:val="20"/>
                <w:szCs w:val="22"/>
              </w:rPr>
              <w:t xml:space="preserve"> : dans le même délai de 30 jours, le commerçant est aussi tenu de faire radier </w:t>
            </w:r>
            <w:r w:rsidR="008166C4" w:rsidRPr="00ED356D">
              <w:rPr>
                <w:rFonts w:cs="Arial"/>
                <w:sz w:val="20"/>
                <w:szCs w:val="22"/>
              </w:rPr>
              <w:t>toute</w:t>
            </w:r>
            <w:r w:rsidR="009118B4" w:rsidRPr="00ED356D">
              <w:rPr>
                <w:rFonts w:cs="Arial"/>
                <w:sz w:val="20"/>
                <w:szCs w:val="22"/>
              </w:rPr>
              <w:t xml:space="preserve"> inscription</w:t>
            </w:r>
            <w:r w:rsidR="008166C4" w:rsidRPr="00ED356D">
              <w:rPr>
                <w:rFonts w:cs="Arial"/>
                <w:sz w:val="20"/>
                <w:szCs w:val="22"/>
              </w:rPr>
              <w:t xml:space="preserve"> à un registre de la pu</w:t>
            </w:r>
            <w:r w:rsidRPr="00ED356D">
              <w:rPr>
                <w:rFonts w:cs="Arial"/>
                <w:sz w:val="20"/>
                <w:szCs w:val="22"/>
              </w:rPr>
              <w:t>blicité des droits.</w:t>
            </w:r>
          </w:p>
          <w:p w:rsidR="00F64C9B" w:rsidRPr="00ED356D" w:rsidRDefault="00F64C9B" w:rsidP="008166C4">
            <w:pPr>
              <w:spacing w:before="120" w:after="120"/>
              <w:jc w:val="both"/>
              <w:rPr>
                <w:rFonts w:cs="Arial"/>
                <w:sz w:val="20"/>
                <w:szCs w:val="22"/>
                <w:u w:val="single"/>
              </w:rPr>
            </w:pPr>
            <w:r w:rsidRPr="0035032E">
              <w:rPr>
                <w:rFonts w:cs="Arial"/>
                <w:sz w:val="20"/>
                <w:szCs w:val="22"/>
                <w:u w:val="single"/>
              </w:rPr>
              <w:t>Frais</w:t>
            </w:r>
            <w:r w:rsidRPr="0035032E">
              <w:rPr>
                <w:rFonts w:cs="Arial"/>
                <w:sz w:val="20"/>
                <w:szCs w:val="22"/>
              </w:rPr>
              <w:t> : les frais de quittance, de remise et de radiation sont à la charge exclusive du commerçant.</w:t>
            </w:r>
          </w:p>
          <w:p w:rsidR="00F64C9B" w:rsidRPr="00ED356D" w:rsidRDefault="008166C4" w:rsidP="008166C4">
            <w:pPr>
              <w:spacing w:before="120" w:after="120"/>
              <w:jc w:val="both"/>
              <w:rPr>
                <w:rFonts w:cs="Arial"/>
                <w:sz w:val="20"/>
                <w:szCs w:val="22"/>
              </w:rPr>
            </w:pPr>
            <w:r w:rsidRPr="00ED356D">
              <w:rPr>
                <w:rFonts w:cs="Arial"/>
                <w:sz w:val="20"/>
                <w:szCs w:val="22"/>
              </w:rPr>
              <w:t>(S’applique aussi au contrat de louage à long terme de biens).</w:t>
            </w:r>
          </w:p>
          <w:p w:rsidR="00F64C9B" w:rsidRPr="00434009" w:rsidRDefault="00F64C9B" w:rsidP="009118B4">
            <w:pPr>
              <w:spacing w:before="120" w:after="120"/>
              <w:jc w:val="both"/>
              <w:rPr>
                <w:rFonts w:cs="Arial"/>
                <w:sz w:val="20"/>
                <w:szCs w:val="22"/>
              </w:rPr>
            </w:pPr>
            <w:r w:rsidRPr="00ED356D">
              <w:rPr>
                <w:rFonts w:cs="Arial"/>
                <w:sz w:val="20"/>
                <w:szCs w:val="22"/>
              </w:rPr>
              <w:lastRenderedPageBreak/>
              <w:t>Il est à noter qu</w:t>
            </w:r>
            <w:r w:rsidR="009118B4" w:rsidRPr="00ED356D">
              <w:rPr>
                <w:rFonts w:cs="Arial"/>
                <w:sz w:val="20"/>
                <w:szCs w:val="22"/>
              </w:rPr>
              <w:t xml:space="preserve">e le Règlement d’application de la LPC exempte le contrat de crédit garanti par une hypothèque immobilière de premier rang de l’application de </w:t>
            </w:r>
            <w:r w:rsidRPr="00ED356D">
              <w:rPr>
                <w:rFonts w:cs="Arial"/>
                <w:sz w:val="20"/>
                <w:szCs w:val="22"/>
              </w:rPr>
              <w:t>l’</w:t>
            </w:r>
            <w:r w:rsidR="009118B4" w:rsidRPr="00ED356D">
              <w:rPr>
                <w:rFonts w:cs="Arial"/>
                <w:sz w:val="20"/>
                <w:szCs w:val="22"/>
              </w:rPr>
              <w:t>article 101 LPC.</w:t>
            </w:r>
          </w:p>
        </w:tc>
        <w:tc>
          <w:tcPr>
            <w:tcW w:w="5310" w:type="dxa"/>
          </w:tcPr>
          <w:p w:rsidR="008B1266" w:rsidRPr="00C83C05" w:rsidRDefault="008B1266" w:rsidP="000B61C1">
            <w:pPr>
              <w:spacing w:before="120" w:after="120"/>
              <w:jc w:val="both"/>
              <w:rPr>
                <w:rFonts w:cs="Arial"/>
                <w:sz w:val="20"/>
                <w:szCs w:val="22"/>
              </w:rPr>
            </w:pPr>
          </w:p>
        </w:tc>
      </w:tr>
      <w:tr w:rsidR="008166C4" w:rsidRPr="00434009" w:rsidTr="00424D61">
        <w:tc>
          <w:tcPr>
            <w:tcW w:w="630" w:type="dxa"/>
            <w:vAlign w:val="center"/>
          </w:tcPr>
          <w:p w:rsidR="008166C4" w:rsidRPr="00A00D8A" w:rsidRDefault="00D1080A" w:rsidP="008166C4">
            <w:pPr>
              <w:spacing w:before="120"/>
              <w:jc w:val="center"/>
              <w:rPr>
                <w:rFonts w:cs="Arial"/>
                <w:sz w:val="20"/>
                <w:szCs w:val="22"/>
              </w:rPr>
            </w:pPr>
            <w:r>
              <w:rPr>
                <w:rFonts w:cs="Arial"/>
                <w:sz w:val="20"/>
                <w:szCs w:val="22"/>
              </w:rPr>
              <w:t>3</w:t>
            </w:r>
            <w:r w:rsidR="003B32C6">
              <w:rPr>
                <w:rFonts w:cs="Arial"/>
                <w:sz w:val="20"/>
                <w:szCs w:val="22"/>
              </w:rPr>
              <w:t>9</w:t>
            </w:r>
          </w:p>
        </w:tc>
        <w:tc>
          <w:tcPr>
            <w:tcW w:w="1260" w:type="dxa"/>
            <w:vAlign w:val="center"/>
          </w:tcPr>
          <w:p w:rsidR="008166C4" w:rsidRPr="00A00D8A" w:rsidRDefault="00732BB4" w:rsidP="008166C4">
            <w:pPr>
              <w:spacing w:before="120"/>
              <w:jc w:val="center"/>
              <w:rPr>
                <w:rFonts w:cs="Arial"/>
                <w:sz w:val="20"/>
                <w:szCs w:val="22"/>
              </w:rPr>
            </w:pPr>
            <w:r>
              <w:rPr>
                <w:rFonts w:cs="Arial"/>
                <w:sz w:val="20"/>
                <w:szCs w:val="22"/>
              </w:rPr>
              <w:t>98, 128.X</w:t>
            </w:r>
            <w:r w:rsidR="008166C4" w:rsidRPr="00A00D8A">
              <w:rPr>
                <w:rFonts w:cs="Arial"/>
                <w:sz w:val="20"/>
                <w:szCs w:val="22"/>
              </w:rPr>
              <w:t xml:space="preserve"> LPC</w:t>
            </w:r>
          </w:p>
        </w:tc>
        <w:tc>
          <w:tcPr>
            <w:tcW w:w="6480" w:type="dxa"/>
          </w:tcPr>
          <w:p w:rsidR="00BC4622" w:rsidRDefault="008166C4" w:rsidP="00CB0217">
            <w:pPr>
              <w:spacing w:before="120" w:after="120"/>
              <w:jc w:val="both"/>
              <w:rPr>
                <w:rFonts w:cs="Arial"/>
                <w:sz w:val="20"/>
                <w:szCs w:val="22"/>
              </w:rPr>
            </w:pPr>
            <w:r w:rsidRPr="00434009">
              <w:rPr>
                <w:rFonts w:cs="Arial"/>
                <w:sz w:val="20"/>
                <w:szCs w:val="22"/>
              </w:rPr>
              <w:t xml:space="preserve">Actuellement, la LPC permet que les parties à un contrat de crédit apportent, d’un commun accord, des modifications au contrat sans suivre une procédure particulière. </w:t>
            </w:r>
            <w:r w:rsidRPr="00434009">
              <w:rPr>
                <w:rFonts w:cs="Arial"/>
                <w:bCs/>
                <w:sz w:val="20"/>
                <w:szCs w:val="22"/>
              </w:rPr>
              <w:t>Toutefois, si les parties désirent modifier certaines dispositions du contrat et que le taux ou les frais de crédit s’en trouvent augmentés, elles doivent conclure un nouveau contrat et respecter les formalités légales associées à la conclusion d’un tel contrat (</w:t>
            </w:r>
            <w:r w:rsidRPr="00434009">
              <w:rPr>
                <w:rFonts w:cs="Arial"/>
                <w:sz w:val="20"/>
                <w:szCs w:val="22"/>
              </w:rPr>
              <w:t>signature, remise d’un double du contrat, délai de résolution de deux jours)</w:t>
            </w:r>
            <w:r w:rsidRPr="00434009">
              <w:rPr>
                <w:rFonts w:cs="Arial"/>
                <w:bCs/>
                <w:sz w:val="20"/>
                <w:szCs w:val="22"/>
              </w:rPr>
              <w:t xml:space="preserve">. </w:t>
            </w:r>
            <w:r w:rsidRPr="00434009">
              <w:rPr>
                <w:rFonts w:cs="Arial"/>
                <w:sz w:val="20"/>
                <w:szCs w:val="22"/>
              </w:rPr>
              <w:t xml:space="preserve">L’interdiction d’omettre un paiement sans rédiger un nouveau contrat peut avoir des effets négatifs sérieux pour le consommateur qui aurait besoin d’un coup de main en raison de certaines difficultés (chômage, maladie, etc.). </w:t>
            </w:r>
          </w:p>
          <w:p w:rsidR="008166C4" w:rsidRPr="00434009" w:rsidRDefault="008166C4" w:rsidP="00CB0217">
            <w:pPr>
              <w:spacing w:before="120" w:after="120"/>
              <w:jc w:val="both"/>
              <w:rPr>
                <w:rFonts w:cs="Arial"/>
                <w:sz w:val="20"/>
                <w:szCs w:val="22"/>
              </w:rPr>
            </w:pPr>
            <w:r w:rsidRPr="00434009">
              <w:rPr>
                <w:rFonts w:cs="Arial"/>
                <w:bCs/>
                <w:sz w:val="20"/>
                <w:szCs w:val="22"/>
              </w:rPr>
              <w:t>Les formalités relatives à la modification du contrat de crédit apportée à la suite d’un accord entre les parties devraient être simplifiées afin</w:t>
            </w:r>
            <w:r w:rsidRPr="00434009">
              <w:rPr>
                <w:rFonts w:cs="Arial"/>
                <w:sz w:val="20"/>
                <w:szCs w:val="22"/>
              </w:rPr>
              <w:t xml:space="preserve"> de rendre plus facile l’obtention d’un </w:t>
            </w:r>
            <w:r w:rsidR="00CB0217">
              <w:rPr>
                <w:rFonts w:cs="Arial"/>
                <w:sz w:val="20"/>
                <w:szCs w:val="22"/>
              </w:rPr>
              <w:t>report de paiement</w:t>
            </w:r>
            <w:r w:rsidRPr="00434009">
              <w:rPr>
                <w:rFonts w:cs="Arial"/>
                <w:sz w:val="20"/>
                <w:szCs w:val="22"/>
              </w:rPr>
              <w:t xml:space="preserve"> par le consommateur qui en a vraiment besoin tout en empêchant les offres abusives et systématiques</w:t>
            </w:r>
            <w:r w:rsidR="00CB0217">
              <w:rPr>
                <w:rFonts w:cs="Arial"/>
                <w:sz w:val="20"/>
                <w:szCs w:val="22"/>
              </w:rPr>
              <w:t>.</w:t>
            </w:r>
          </w:p>
        </w:tc>
        <w:tc>
          <w:tcPr>
            <w:tcW w:w="5940" w:type="dxa"/>
          </w:tcPr>
          <w:p w:rsidR="008166C4" w:rsidRPr="00434009" w:rsidRDefault="008166C4" w:rsidP="008166C4">
            <w:pPr>
              <w:spacing w:before="120" w:after="120"/>
              <w:jc w:val="both"/>
              <w:rPr>
                <w:rFonts w:cs="Arial"/>
                <w:sz w:val="20"/>
                <w:szCs w:val="22"/>
              </w:rPr>
            </w:pPr>
            <w:r w:rsidRPr="00434009">
              <w:rPr>
                <w:rFonts w:cs="Arial"/>
                <w:sz w:val="20"/>
                <w:szCs w:val="22"/>
                <w:u w:val="single"/>
              </w:rPr>
              <w:t>Modification du contrat </w:t>
            </w:r>
            <w:r w:rsidRPr="00434009">
              <w:rPr>
                <w:rFonts w:cs="Arial"/>
                <w:sz w:val="20"/>
                <w:szCs w:val="22"/>
              </w:rPr>
              <w:t>: possibilité de modifier le contrat d’un commun accord dans un avenant. Si augmentation des frais ou du taux de crédit, l’avenant doit être signé et contenir obligatoirement certains renseignements.</w:t>
            </w:r>
          </w:p>
        </w:tc>
        <w:tc>
          <w:tcPr>
            <w:tcW w:w="5310" w:type="dxa"/>
          </w:tcPr>
          <w:p w:rsidR="008166C4" w:rsidRPr="00C83C05" w:rsidRDefault="008166C4" w:rsidP="00CE35E1">
            <w:pPr>
              <w:spacing w:before="120" w:after="120"/>
              <w:jc w:val="both"/>
              <w:rPr>
                <w:rFonts w:cs="Arial"/>
                <w:sz w:val="20"/>
                <w:szCs w:val="22"/>
              </w:rPr>
            </w:pPr>
          </w:p>
        </w:tc>
      </w:tr>
      <w:tr w:rsidR="008166C4" w:rsidRPr="00434009" w:rsidTr="00D1080A">
        <w:tc>
          <w:tcPr>
            <w:tcW w:w="630" w:type="dxa"/>
            <w:vAlign w:val="center"/>
          </w:tcPr>
          <w:p w:rsidR="008166C4" w:rsidRPr="00A00D8A" w:rsidRDefault="003B32C6" w:rsidP="008166C4">
            <w:pPr>
              <w:spacing w:before="120"/>
              <w:jc w:val="center"/>
              <w:rPr>
                <w:rFonts w:cs="Arial"/>
                <w:sz w:val="20"/>
                <w:szCs w:val="22"/>
              </w:rPr>
            </w:pPr>
            <w:r>
              <w:rPr>
                <w:rFonts w:cs="Arial"/>
                <w:sz w:val="20"/>
                <w:szCs w:val="22"/>
              </w:rPr>
              <w:t>40</w:t>
            </w:r>
          </w:p>
        </w:tc>
        <w:tc>
          <w:tcPr>
            <w:tcW w:w="1260" w:type="dxa"/>
            <w:vAlign w:val="center"/>
          </w:tcPr>
          <w:p w:rsidR="008166C4" w:rsidRPr="00A00D8A" w:rsidRDefault="008166C4" w:rsidP="008166C4">
            <w:pPr>
              <w:spacing w:before="120"/>
              <w:jc w:val="center"/>
              <w:rPr>
                <w:rFonts w:cs="Arial"/>
                <w:sz w:val="20"/>
                <w:szCs w:val="22"/>
              </w:rPr>
            </w:pPr>
            <w:r w:rsidRPr="00A00D8A">
              <w:rPr>
                <w:rFonts w:cs="Arial"/>
                <w:sz w:val="20"/>
                <w:szCs w:val="22"/>
              </w:rPr>
              <w:t>92 LPC</w:t>
            </w:r>
          </w:p>
        </w:tc>
        <w:tc>
          <w:tcPr>
            <w:tcW w:w="6480" w:type="dxa"/>
          </w:tcPr>
          <w:p w:rsidR="008166C4" w:rsidRPr="00434009" w:rsidRDefault="008166C4" w:rsidP="000A5846">
            <w:pPr>
              <w:spacing w:before="120" w:after="120"/>
              <w:jc w:val="both"/>
              <w:rPr>
                <w:rFonts w:cs="Arial"/>
                <w:sz w:val="20"/>
                <w:szCs w:val="22"/>
              </w:rPr>
            </w:pPr>
            <w:r w:rsidRPr="00D1080A">
              <w:rPr>
                <w:rFonts w:cs="Arial"/>
                <w:sz w:val="20"/>
                <w:szCs w:val="22"/>
              </w:rPr>
              <w:t>Une certaine confusion existe actuellement concernant la possibilité de charger des frais en cas de défaut du consommateur de respecter ses obligations. Afin de dissiper toute ambiguïté, il y aurait lieu d’énoncer clairement le droit du commerçant d’exiger certains frais autres que ceux qui doivent être inclus dans le taux de crédit.</w:t>
            </w:r>
          </w:p>
        </w:tc>
        <w:tc>
          <w:tcPr>
            <w:tcW w:w="5940" w:type="dxa"/>
            <w:shd w:val="clear" w:color="auto" w:fill="auto"/>
          </w:tcPr>
          <w:p w:rsidR="008166C4" w:rsidRPr="00434009" w:rsidRDefault="008166C4" w:rsidP="000A5846">
            <w:pPr>
              <w:spacing w:before="120" w:after="120"/>
              <w:jc w:val="both"/>
              <w:rPr>
                <w:rFonts w:cs="Arial"/>
                <w:sz w:val="20"/>
                <w:szCs w:val="22"/>
              </w:rPr>
            </w:pPr>
            <w:r w:rsidRPr="00D1080A">
              <w:rPr>
                <w:rFonts w:cs="Arial"/>
                <w:sz w:val="20"/>
                <w:szCs w:val="22"/>
                <w:u w:val="single"/>
              </w:rPr>
              <w:t>Frais en cas de défaut ou retard</w:t>
            </w:r>
            <w:r w:rsidRPr="00D1080A">
              <w:rPr>
                <w:rFonts w:cs="Arial"/>
                <w:sz w:val="20"/>
                <w:szCs w:val="22"/>
              </w:rPr>
              <w:t xml:space="preserve"> : possibilité pour le commerçant de réclamer du consommateur, en plus des </w:t>
            </w:r>
            <w:r w:rsidRPr="00CB16B9">
              <w:rPr>
                <w:rFonts w:cs="Arial"/>
                <w:sz w:val="20"/>
                <w:szCs w:val="22"/>
              </w:rPr>
              <w:t>frais de crédit, certains frais réellement déboursés en raison du défaut (tels que</w:t>
            </w:r>
            <w:r w:rsidR="001E1BF7" w:rsidRPr="00CB16B9">
              <w:rPr>
                <w:rFonts w:cs="Arial"/>
                <w:sz w:val="20"/>
                <w:szCs w:val="22"/>
              </w:rPr>
              <w:t xml:space="preserve"> </w:t>
            </w:r>
            <w:r w:rsidRPr="00CB16B9">
              <w:rPr>
                <w:rFonts w:cs="Arial"/>
                <w:sz w:val="20"/>
                <w:szCs w:val="22"/>
              </w:rPr>
              <w:t>frais pour chèque non honoré).</w:t>
            </w:r>
          </w:p>
        </w:tc>
        <w:tc>
          <w:tcPr>
            <w:tcW w:w="5310" w:type="dxa"/>
          </w:tcPr>
          <w:p w:rsidR="00583FCC" w:rsidRPr="00C83C05" w:rsidRDefault="00583FCC" w:rsidP="008166C4">
            <w:pPr>
              <w:spacing w:before="120" w:after="120"/>
              <w:jc w:val="both"/>
              <w:rPr>
                <w:rFonts w:cs="Arial"/>
                <w:sz w:val="20"/>
                <w:szCs w:val="22"/>
              </w:rPr>
            </w:pPr>
          </w:p>
        </w:tc>
      </w:tr>
      <w:tr w:rsidR="008166C4" w:rsidRPr="00434009" w:rsidTr="00424D61">
        <w:trPr>
          <w:trHeight w:val="908"/>
        </w:trPr>
        <w:tc>
          <w:tcPr>
            <w:tcW w:w="630" w:type="dxa"/>
            <w:vAlign w:val="center"/>
          </w:tcPr>
          <w:p w:rsidR="008166C4" w:rsidRPr="00A00D8A" w:rsidRDefault="003B32C6" w:rsidP="008166C4">
            <w:pPr>
              <w:spacing w:before="120"/>
              <w:jc w:val="center"/>
              <w:rPr>
                <w:rFonts w:cs="Arial"/>
                <w:sz w:val="20"/>
                <w:szCs w:val="22"/>
              </w:rPr>
            </w:pPr>
            <w:r>
              <w:rPr>
                <w:rFonts w:cs="Arial"/>
                <w:sz w:val="20"/>
                <w:szCs w:val="22"/>
              </w:rPr>
              <w:t>41</w:t>
            </w:r>
          </w:p>
        </w:tc>
        <w:tc>
          <w:tcPr>
            <w:tcW w:w="1260" w:type="dxa"/>
            <w:vAlign w:val="center"/>
          </w:tcPr>
          <w:p w:rsidR="008166C4" w:rsidRPr="00A00D8A" w:rsidRDefault="007C3443" w:rsidP="008166C4">
            <w:pPr>
              <w:spacing w:before="120"/>
              <w:jc w:val="center"/>
              <w:rPr>
                <w:rFonts w:cs="Arial"/>
                <w:sz w:val="20"/>
                <w:szCs w:val="22"/>
              </w:rPr>
            </w:pPr>
            <w:r>
              <w:rPr>
                <w:rFonts w:cs="Arial"/>
                <w:sz w:val="20"/>
                <w:szCs w:val="22"/>
              </w:rPr>
              <w:t>103</w:t>
            </w:r>
            <w:proofErr w:type="gramStart"/>
            <w:r>
              <w:rPr>
                <w:rFonts w:cs="Arial"/>
                <w:sz w:val="20"/>
                <w:szCs w:val="22"/>
              </w:rPr>
              <w:t>.X</w:t>
            </w:r>
            <w:proofErr w:type="gramEnd"/>
            <w:r w:rsidR="008166C4" w:rsidRPr="00A00D8A">
              <w:rPr>
                <w:rFonts w:cs="Arial"/>
                <w:sz w:val="20"/>
                <w:szCs w:val="22"/>
              </w:rPr>
              <w:t xml:space="preserve"> LPC</w:t>
            </w:r>
          </w:p>
          <w:p w:rsidR="008166C4" w:rsidRPr="00A00D8A" w:rsidRDefault="008166C4" w:rsidP="008166C4">
            <w:pPr>
              <w:jc w:val="center"/>
              <w:rPr>
                <w:rFonts w:cs="Arial"/>
                <w:sz w:val="20"/>
                <w:szCs w:val="22"/>
              </w:rPr>
            </w:pPr>
          </w:p>
        </w:tc>
        <w:tc>
          <w:tcPr>
            <w:tcW w:w="6480" w:type="dxa"/>
          </w:tcPr>
          <w:p w:rsidR="008166C4" w:rsidRPr="00434009" w:rsidRDefault="007C3443" w:rsidP="008166C4">
            <w:pPr>
              <w:spacing w:before="120" w:after="120"/>
              <w:jc w:val="both"/>
              <w:rPr>
                <w:rFonts w:cs="Arial"/>
                <w:sz w:val="20"/>
                <w:szCs w:val="22"/>
              </w:rPr>
            </w:pPr>
            <w:r>
              <w:rPr>
                <w:rFonts w:cs="Arial"/>
                <w:sz w:val="20"/>
                <w:szCs w:val="22"/>
              </w:rPr>
              <w:t>Actuellement, l</w:t>
            </w:r>
            <w:r w:rsidR="008166C4" w:rsidRPr="00434009">
              <w:rPr>
                <w:rFonts w:cs="Arial"/>
                <w:sz w:val="20"/>
                <w:szCs w:val="22"/>
              </w:rPr>
              <w:t>a</w:t>
            </w:r>
            <w:r w:rsidR="008166C4" w:rsidRPr="00434009">
              <w:rPr>
                <w:rFonts w:cs="Arial"/>
                <w:i/>
                <w:sz w:val="20"/>
                <w:szCs w:val="22"/>
              </w:rPr>
              <w:t xml:space="preserve"> </w:t>
            </w:r>
            <w:r>
              <w:rPr>
                <w:rFonts w:cs="Arial"/>
                <w:sz w:val="20"/>
                <w:szCs w:val="22"/>
              </w:rPr>
              <w:t>LPC</w:t>
            </w:r>
            <w:r w:rsidR="008166C4" w:rsidRPr="00434009">
              <w:rPr>
                <w:rFonts w:cs="Arial"/>
                <w:sz w:val="20"/>
                <w:szCs w:val="22"/>
              </w:rPr>
              <w:t xml:space="preserve"> prévoit qu’en cas de contestation sur l’exécution du contrat principal, par exemple un contrat d’achat de bien, le tribunal pourra, à la demande du consommateur, suspendre l’exécution du contrat de prêt, qui a servi à financer l’achat, jusqu’à la solution du litige. Cet article ne tient toutefois pas compte du fait que, désormais, des produits financiers autres que le contrat de prêt sont régulièrement </w:t>
            </w:r>
            <w:r w:rsidR="008166C4" w:rsidRPr="00434009">
              <w:rPr>
                <w:rFonts w:cs="Arial"/>
                <w:sz w:val="20"/>
                <w:szCs w:val="22"/>
              </w:rPr>
              <w:lastRenderedPageBreak/>
              <w:t>offerts au consommateur en vue de financer un achat auprès d’un commerçant.</w:t>
            </w:r>
          </w:p>
        </w:tc>
        <w:tc>
          <w:tcPr>
            <w:tcW w:w="5940" w:type="dxa"/>
          </w:tcPr>
          <w:p w:rsidR="008166C4" w:rsidRPr="00434009" w:rsidRDefault="007C3443" w:rsidP="008166C4">
            <w:pPr>
              <w:spacing w:before="120" w:after="120"/>
              <w:jc w:val="both"/>
              <w:rPr>
                <w:rFonts w:cs="Arial"/>
                <w:sz w:val="20"/>
                <w:szCs w:val="22"/>
              </w:rPr>
            </w:pPr>
            <w:r>
              <w:rPr>
                <w:rFonts w:cs="Arial"/>
                <w:sz w:val="20"/>
                <w:szCs w:val="22"/>
                <w:u w:val="single"/>
              </w:rPr>
              <w:lastRenderedPageBreak/>
              <w:t>Sus</w:t>
            </w:r>
            <w:r w:rsidR="00A76629">
              <w:rPr>
                <w:rFonts w:cs="Arial"/>
                <w:sz w:val="20"/>
                <w:szCs w:val="22"/>
                <w:u w:val="single"/>
              </w:rPr>
              <w:t xml:space="preserve">pension du remboursement </w:t>
            </w:r>
            <w:r w:rsidR="008166C4" w:rsidRPr="00434009">
              <w:rPr>
                <w:rFonts w:cs="Arial"/>
                <w:sz w:val="20"/>
                <w:szCs w:val="22"/>
                <w:u w:val="single"/>
              </w:rPr>
              <w:t>en cas de contestation</w:t>
            </w:r>
            <w:r w:rsidR="00A76629">
              <w:rPr>
                <w:rFonts w:cs="Arial"/>
                <w:sz w:val="20"/>
                <w:szCs w:val="22"/>
                <w:u w:val="single"/>
              </w:rPr>
              <w:t xml:space="preserve"> judiciaire</w:t>
            </w:r>
            <w:r w:rsidR="008166C4" w:rsidRPr="00434009">
              <w:rPr>
                <w:rFonts w:cs="Arial"/>
                <w:sz w:val="20"/>
                <w:szCs w:val="22"/>
              </w:rPr>
              <w:t> : extension au contrat de crédit variable du droit du consommateur de demander au tribunal</w:t>
            </w:r>
            <w:r w:rsidR="008166C4">
              <w:rPr>
                <w:rFonts w:cs="Arial"/>
                <w:sz w:val="20"/>
                <w:szCs w:val="22"/>
              </w:rPr>
              <w:t xml:space="preserve">, </w:t>
            </w:r>
            <w:r w:rsidR="008166C4" w:rsidRPr="00434009">
              <w:rPr>
                <w:rFonts w:cs="Arial"/>
                <w:sz w:val="20"/>
                <w:szCs w:val="22"/>
              </w:rPr>
              <w:t>en cas de contestation judiciaire</w:t>
            </w:r>
            <w:r w:rsidR="008166C4">
              <w:rPr>
                <w:rFonts w:cs="Arial"/>
                <w:sz w:val="20"/>
                <w:szCs w:val="22"/>
              </w:rPr>
              <w:t xml:space="preserve">, </w:t>
            </w:r>
            <w:r w:rsidR="008166C4" w:rsidRPr="00434009">
              <w:rPr>
                <w:rFonts w:cs="Arial"/>
                <w:sz w:val="20"/>
                <w:szCs w:val="22"/>
              </w:rPr>
              <w:t xml:space="preserve">la suspension du remboursement de la portion du solde impayé ayant servi à payer l’achat. </w:t>
            </w:r>
          </w:p>
          <w:p w:rsidR="008166C4" w:rsidRPr="00434009" w:rsidRDefault="008166C4" w:rsidP="008166C4">
            <w:pPr>
              <w:spacing w:before="120" w:after="120"/>
              <w:jc w:val="both"/>
              <w:rPr>
                <w:rFonts w:cs="Arial"/>
                <w:sz w:val="20"/>
                <w:szCs w:val="22"/>
                <w:u w:val="single"/>
              </w:rPr>
            </w:pPr>
          </w:p>
        </w:tc>
        <w:tc>
          <w:tcPr>
            <w:tcW w:w="5310" w:type="dxa"/>
          </w:tcPr>
          <w:p w:rsidR="00E2299C" w:rsidRPr="00C83C05" w:rsidRDefault="00E2299C" w:rsidP="00D858F4">
            <w:pPr>
              <w:spacing w:before="120" w:after="120"/>
              <w:jc w:val="both"/>
              <w:rPr>
                <w:rFonts w:cs="Arial"/>
                <w:sz w:val="20"/>
                <w:szCs w:val="22"/>
              </w:rPr>
            </w:pPr>
          </w:p>
        </w:tc>
      </w:tr>
      <w:tr w:rsidR="00D73FAB" w:rsidRPr="00434009" w:rsidTr="00D73FAB">
        <w:trPr>
          <w:trHeight w:val="75"/>
        </w:trPr>
        <w:tc>
          <w:tcPr>
            <w:tcW w:w="630" w:type="dxa"/>
            <w:vAlign w:val="center"/>
          </w:tcPr>
          <w:p w:rsidR="00D73FAB" w:rsidRDefault="00D73FAB" w:rsidP="008166C4">
            <w:pPr>
              <w:spacing w:before="120"/>
              <w:jc w:val="center"/>
              <w:rPr>
                <w:rFonts w:cs="Arial"/>
                <w:sz w:val="20"/>
                <w:szCs w:val="22"/>
              </w:rPr>
            </w:pPr>
          </w:p>
        </w:tc>
        <w:tc>
          <w:tcPr>
            <w:tcW w:w="1260" w:type="dxa"/>
            <w:vAlign w:val="center"/>
          </w:tcPr>
          <w:p w:rsidR="00D73FAB" w:rsidRDefault="00D73FAB" w:rsidP="008166C4">
            <w:pPr>
              <w:spacing w:before="120"/>
              <w:jc w:val="center"/>
              <w:rPr>
                <w:rFonts w:cs="Arial"/>
                <w:sz w:val="20"/>
                <w:szCs w:val="22"/>
              </w:rPr>
            </w:pPr>
          </w:p>
        </w:tc>
        <w:tc>
          <w:tcPr>
            <w:tcW w:w="6480" w:type="dxa"/>
          </w:tcPr>
          <w:p w:rsidR="00D73FAB" w:rsidRDefault="00D73FAB" w:rsidP="008166C4">
            <w:pPr>
              <w:spacing w:before="120" w:after="120"/>
              <w:jc w:val="both"/>
              <w:rPr>
                <w:rFonts w:cs="Arial"/>
                <w:sz w:val="20"/>
                <w:szCs w:val="22"/>
              </w:rPr>
            </w:pPr>
          </w:p>
        </w:tc>
        <w:tc>
          <w:tcPr>
            <w:tcW w:w="5940" w:type="dxa"/>
          </w:tcPr>
          <w:p w:rsidR="00D73FAB" w:rsidRDefault="00D73FAB" w:rsidP="008166C4">
            <w:pPr>
              <w:spacing w:before="120" w:after="120"/>
              <w:jc w:val="both"/>
              <w:rPr>
                <w:rFonts w:cs="Arial"/>
                <w:sz w:val="20"/>
                <w:szCs w:val="22"/>
                <w:u w:val="single"/>
              </w:rPr>
            </w:pPr>
          </w:p>
        </w:tc>
        <w:tc>
          <w:tcPr>
            <w:tcW w:w="5310" w:type="dxa"/>
          </w:tcPr>
          <w:p w:rsidR="00D73FAB" w:rsidRPr="00C83C05" w:rsidRDefault="00D73FAB" w:rsidP="00D858F4">
            <w:pPr>
              <w:spacing w:before="120" w:after="120"/>
              <w:jc w:val="both"/>
              <w:rPr>
                <w:rFonts w:cs="Arial"/>
                <w:sz w:val="20"/>
                <w:szCs w:val="22"/>
              </w:rPr>
            </w:pPr>
          </w:p>
        </w:tc>
      </w:tr>
      <w:tr w:rsidR="00D73FAB" w:rsidRPr="00434009" w:rsidTr="00D73FAB">
        <w:trPr>
          <w:trHeight w:val="75"/>
        </w:trPr>
        <w:tc>
          <w:tcPr>
            <w:tcW w:w="630" w:type="dxa"/>
            <w:vAlign w:val="center"/>
          </w:tcPr>
          <w:p w:rsidR="00D73FAB" w:rsidRDefault="00D73FAB" w:rsidP="008166C4">
            <w:pPr>
              <w:spacing w:before="120"/>
              <w:jc w:val="center"/>
              <w:rPr>
                <w:rFonts w:cs="Arial"/>
                <w:sz w:val="20"/>
                <w:szCs w:val="22"/>
              </w:rPr>
            </w:pPr>
          </w:p>
        </w:tc>
        <w:tc>
          <w:tcPr>
            <w:tcW w:w="1260" w:type="dxa"/>
            <w:vAlign w:val="center"/>
          </w:tcPr>
          <w:p w:rsidR="00D73FAB" w:rsidRDefault="00D73FAB" w:rsidP="008166C4">
            <w:pPr>
              <w:spacing w:before="120"/>
              <w:jc w:val="center"/>
              <w:rPr>
                <w:rFonts w:cs="Arial"/>
                <w:sz w:val="20"/>
                <w:szCs w:val="22"/>
              </w:rPr>
            </w:pPr>
          </w:p>
        </w:tc>
        <w:tc>
          <w:tcPr>
            <w:tcW w:w="6480" w:type="dxa"/>
          </w:tcPr>
          <w:p w:rsidR="00D73FAB" w:rsidRDefault="00D73FAB" w:rsidP="008166C4">
            <w:pPr>
              <w:spacing w:before="120" w:after="120"/>
              <w:jc w:val="both"/>
              <w:rPr>
                <w:rFonts w:cs="Arial"/>
                <w:sz w:val="20"/>
                <w:szCs w:val="22"/>
              </w:rPr>
            </w:pPr>
          </w:p>
        </w:tc>
        <w:tc>
          <w:tcPr>
            <w:tcW w:w="5940" w:type="dxa"/>
          </w:tcPr>
          <w:p w:rsidR="00D73FAB" w:rsidRDefault="00D73FAB" w:rsidP="008166C4">
            <w:pPr>
              <w:spacing w:before="120" w:after="120"/>
              <w:jc w:val="both"/>
              <w:rPr>
                <w:rFonts w:cs="Arial"/>
                <w:sz w:val="20"/>
                <w:szCs w:val="22"/>
                <w:u w:val="single"/>
              </w:rPr>
            </w:pPr>
          </w:p>
        </w:tc>
        <w:tc>
          <w:tcPr>
            <w:tcW w:w="5310" w:type="dxa"/>
          </w:tcPr>
          <w:p w:rsidR="00D73FAB" w:rsidRPr="00C83C05" w:rsidRDefault="00D73FAB" w:rsidP="00D858F4">
            <w:pPr>
              <w:spacing w:before="120" w:after="120"/>
              <w:jc w:val="both"/>
              <w:rPr>
                <w:rFonts w:cs="Arial"/>
                <w:sz w:val="20"/>
                <w:szCs w:val="22"/>
              </w:rPr>
            </w:pPr>
          </w:p>
        </w:tc>
      </w:tr>
    </w:tbl>
    <w:p w:rsidR="005E0297" w:rsidRDefault="005E0297" w:rsidP="00720B60">
      <w:pPr>
        <w:spacing w:before="120" w:after="120"/>
        <w:jc w:val="both"/>
        <w:rPr>
          <w:rFonts w:cs="Arial"/>
          <w:sz w:val="20"/>
          <w:szCs w:val="22"/>
        </w:rPr>
      </w:pPr>
    </w:p>
    <w:p w:rsidR="004E71AD" w:rsidRPr="006819C9" w:rsidRDefault="004E71AD" w:rsidP="004E71AD">
      <w:pPr>
        <w:pStyle w:val="Titre2"/>
      </w:pPr>
      <w:bookmarkStart w:id="5" w:name="_Toc426706130"/>
      <w:bookmarkStart w:id="6" w:name="_Toc536006786"/>
      <w:r w:rsidRPr="006819C9">
        <w:t>Carte de débit</w:t>
      </w:r>
      <w:bookmarkEnd w:id="5"/>
      <w:bookmarkEnd w:id="6"/>
    </w:p>
    <w:tbl>
      <w:tblPr>
        <w:tblW w:w="196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260"/>
        <w:gridCol w:w="6480"/>
        <w:gridCol w:w="5850"/>
        <w:gridCol w:w="5400"/>
      </w:tblGrid>
      <w:tr w:rsidR="00424D61" w:rsidRPr="006819C9" w:rsidTr="000D6902">
        <w:trPr>
          <w:trHeight w:val="978"/>
          <w:tblHeader/>
        </w:trPr>
        <w:tc>
          <w:tcPr>
            <w:tcW w:w="630" w:type="dxa"/>
            <w:shd w:val="clear" w:color="auto" w:fill="EEECE1" w:themeFill="background2"/>
            <w:vAlign w:val="center"/>
          </w:tcPr>
          <w:p w:rsidR="00424D61" w:rsidRPr="006819C9" w:rsidRDefault="00424D61" w:rsidP="00424D61">
            <w:pPr>
              <w:spacing w:before="120"/>
              <w:jc w:val="center"/>
              <w:rPr>
                <w:rFonts w:cs="Arial"/>
                <w:b/>
                <w:bCs/>
                <w:sz w:val="20"/>
                <w:szCs w:val="22"/>
              </w:rPr>
            </w:pPr>
            <w:r>
              <w:rPr>
                <w:rFonts w:cs="Arial"/>
                <w:b/>
                <w:bCs/>
                <w:sz w:val="20"/>
                <w:szCs w:val="22"/>
              </w:rPr>
              <w:t>NO</w:t>
            </w:r>
          </w:p>
        </w:tc>
        <w:tc>
          <w:tcPr>
            <w:tcW w:w="1260" w:type="dxa"/>
            <w:shd w:val="clear" w:color="auto" w:fill="EEECE1" w:themeFill="background2"/>
            <w:vAlign w:val="center"/>
          </w:tcPr>
          <w:p w:rsidR="00424D61" w:rsidRPr="006819C9" w:rsidRDefault="00424D61" w:rsidP="00424D61">
            <w:pPr>
              <w:spacing w:before="120"/>
              <w:jc w:val="center"/>
              <w:rPr>
                <w:rFonts w:cs="Arial"/>
                <w:b/>
                <w:bCs/>
                <w:sz w:val="20"/>
                <w:szCs w:val="22"/>
              </w:rPr>
            </w:pPr>
            <w:r w:rsidRPr="006819C9">
              <w:rPr>
                <w:rFonts w:cs="Arial"/>
                <w:b/>
                <w:bCs/>
                <w:sz w:val="20"/>
                <w:szCs w:val="22"/>
              </w:rPr>
              <w:t>ARTICLES</w:t>
            </w:r>
          </w:p>
        </w:tc>
        <w:tc>
          <w:tcPr>
            <w:tcW w:w="6480" w:type="dxa"/>
            <w:shd w:val="clear" w:color="auto" w:fill="EEECE1" w:themeFill="background2"/>
            <w:vAlign w:val="center"/>
          </w:tcPr>
          <w:p w:rsidR="00424D61" w:rsidRPr="006819C9" w:rsidRDefault="00424D61" w:rsidP="00424D61">
            <w:pPr>
              <w:spacing w:before="120" w:after="120"/>
              <w:jc w:val="center"/>
              <w:rPr>
                <w:rFonts w:cs="Arial"/>
                <w:b/>
                <w:bCs/>
                <w:sz w:val="20"/>
                <w:szCs w:val="22"/>
              </w:rPr>
            </w:pPr>
            <w:r w:rsidRPr="006819C9">
              <w:rPr>
                <w:rFonts w:cs="Arial"/>
                <w:b/>
                <w:bCs/>
                <w:sz w:val="20"/>
                <w:szCs w:val="22"/>
              </w:rPr>
              <w:t>PROBLÉMATIQUE</w:t>
            </w:r>
          </w:p>
        </w:tc>
        <w:tc>
          <w:tcPr>
            <w:tcW w:w="5850" w:type="dxa"/>
            <w:shd w:val="clear" w:color="auto" w:fill="EEECE1" w:themeFill="background2"/>
            <w:vAlign w:val="center"/>
          </w:tcPr>
          <w:p w:rsidR="00424D61" w:rsidRPr="006819C9" w:rsidRDefault="00424D61" w:rsidP="00424D61">
            <w:pPr>
              <w:spacing w:before="120" w:after="120"/>
              <w:jc w:val="center"/>
              <w:rPr>
                <w:rFonts w:cs="Arial"/>
                <w:b/>
                <w:bCs/>
                <w:sz w:val="20"/>
                <w:szCs w:val="22"/>
              </w:rPr>
            </w:pPr>
            <w:r>
              <w:rPr>
                <w:rFonts w:cs="Arial"/>
                <w:b/>
                <w:bCs/>
                <w:sz w:val="20"/>
                <w:szCs w:val="22"/>
              </w:rPr>
              <w:t>MESURE</w:t>
            </w:r>
          </w:p>
        </w:tc>
        <w:tc>
          <w:tcPr>
            <w:tcW w:w="5400" w:type="dxa"/>
            <w:shd w:val="clear" w:color="auto" w:fill="EEECE1" w:themeFill="background2"/>
            <w:vAlign w:val="center"/>
          </w:tcPr>
          <w:p w:rsidR="00424D61" w:rsidRDefault="00663A4D" w:rsidP="00424D61">
            <w:pPr>
              <w:spacing w:before="120" w:after="120"/>
              <w:jc w:val="center"/>
              <w:rPr>
                <w:rFonts w:cs="Arial"/>
                <w:b/>
                <w:bCs/>
                <w:sz w:val="20"/>
                <w:szCs w:val="22"/>
              </w:rPr>
            </w:pPr>
            <w:r>
              <w:rPr>
                <w:rFonts w:cs="Arial"/>
                <w:b/>
                <w:bCs/>
                <w:sz w:val="20"/>
                <w:szCs w:val="22"/>
              </w:rPr>
              <w:t>COMMENTAIRES</w:t>
            </w:r>
          </w:p>
        </w:tc>
      </w:tr>
      <w:tr w:rsidR="005B55D6" w:rsidRPr="006819C9" w:rsidTr="00424D61">
        <w:tc>
          <w:tcPr>
            <w:tcW w:w="630" w:type="dxa"/>
            <w:vMerge w:val="restart"/>
            <w:vAlign w:val="center"/>
          </w:tcPr>
          <w:p w:rsidR="005B55D6" w:rsidRPr="006819C9" w:rsidRDefault="007E337B" w:rsidP="005B55D6">
            <w:pPr>
              <w:spacing w:before="120"/>
              <w:jc w:val="center"/>
              <w:rPr>
                <w:rFonts w:cs="Arial"/>
                <w:sz w:val="20"/>
                <w:szCs w:val="22"/>
              </w:rPr>
            </w:pPr>
            <w:r>
              <w:rPr>
                <w:rFonts w:cs="Arial"/>
                <w:sz w:val="20"/>
                <w:szCs w:val="22"/>
              </w:rPr>
              <w:t>4</w:t>
            </w:r>
            <w:r w:rsidR="003B32C6">
              <w:rPr>
                <w:rFonts w:cs="Arial"/>
                <w:sz w:val="20"/>
                <w:szCs w:val="22"/>
              </w:rPr>
              <w:t>2</w:t>
            </w:r>
          </w:p>
        </w:tc>
        <w:tc>
          <w:tcPr>
            <w:tcW w:w="1260" w:type="dxa"/>
            <w:vAlign w:val="center"/>
          </w:tcPr>
          <w:p w:rsidR="005B55D6" w:rsidRPr="006819C9" w:rsidRDefault="005B55D6" w:rsidP="005B55D6">
            <w:pPr>
              <w:spacing w:before="120"/>
              <w:jc w:val="center"/>
              <w:rPr>
                <w:rFonts w:cs="Arial"/>
                <w:sz w:val="20"/>
                <w:szCs w:val="22"/>
              </w:rPr>
            </w:pPr>
            <w:r w:rsidRPr="006819C9">
              <w:rPr>
                <w:rFonts w:cs="Arial"/>
                <w:sz w:val="20"/>
                <w:szCs w:val="22"/>
              </w:rPr>
              <w:t>Section II.1 LPC</w:t>
            </w:r>
          </w:p>
        </w:tc>
        <w:tc>
          <w:tcPr>
            <w:tcW w:w="6480" w:type="dxa"/>
            <w:vMerge w:val="restart"/>
          </w:tcPr>
          <w:p w:rsidR="005B55D6" w:rsidRPr="006819C9" w:rsidRDefault="005B55D6" w:rsidP="005B55D6">
            <w:pPr>
              <w:spacing w:before="120" w:after="120"/>
              <w:jc w:val="both"/>
              <w:rPr>
                <w:rFonts w:cs="Arial"/>
                <w:sz w:val="20"/>
                <w:szCs w:val="22"/>
              </w:rPr>
            </w:pPr>
            <w:r w:rsidRPr="006819C9">
              <w:rPr>
                <w:rFonts w:cs="Arial"/>
                <w:sz w:val="20"/>
                <w:szCs w:val="22"/>
              </w:rPr>
              <w:t>L’émission d’une carte de débit fait l’objet d’un contrat d’adhésion entre l’émetteur et le consommateur. Ces contrats ne respectent pas toujours les recommandations du Code de pratique canadien des services de cartes de débit. De plus, ce code volontaire est dénoncé par certains comme faisant porter au consommateur la plus grande part du risque inhérent à un outil technologique utilisant une carte et un numéro d’identification personnel. En effet, un tel outil ne permet pas de vérifier l’identité de l’utilisateur et le consentement du titulaire de façon aussi fiable qu’un autre utilisant la signature manuscrite, très difficile à falsifier parfaitement.</w:t>
            </w:r>
          </w:p>
          <w:p w:rsidR="005B55D6" w:rsidRPr="006819C9" w:rsidRDefault="005B55D6" w:rsidP="00BC4622">
            <w:pPr>
              <w:spacing w:before="120" w:after="120"/>
              <w:jc w:val="both"/>
              <w:rPr>
                <w:rFonts w:cs="Arial"/>
                <w:sz w:val="20"/>
                <w:szCs w:val="22"/>
              </w:rPr>
            </w:pPr>
            <w:r w:rsidRPr="006819C9">
              <w:rPr>
                <w:rFonts w:cs="Arial"/>
                <w:sz w:val="20"/>
                <w:szCs w:val="22"/>
              </w:rPr>
              <w:t>Alors qu’en cas d’utilisation non autorisée d’une carte de crédit, la limite de responsabilité du consommateur est de 50 $, celle d’un titulaire de carte de débit peut être illimitée</w:t>
            </w:r>
            <w:r w:rsidR="0037502C">
              <w:rPr>
                <w:rFonts w:cs="Arial"/>
                <w:sz w:val="20"/>
                <w:szCs w:val="22"/>
              </w:rPr>
              <w:t>.</w:t>
            </w:r>
          </w:p>
        </w:tc>
        <w:tc>
          <w:tcPr>
            <w:tcW w:w="5850" w:type="dxa"/>
          </w:tcPr>
          <w:p w:rsidR="005B55D6" w:rsidRPr="006819C9" w:rsidRDefault="005B55D6" w:rsidP="005B55D6">
            <w:pPr>
              <w:spacing w:before="120" w:after="120"/>
              <w:jc w:val="both"/>
              <w:rPr>
                <w:rFonts w:cs="Arial"/>
                <w:sz w:val="20"/>
                <w:szCs w:val="22"/>
              </w:rPr>
            </w:pPr>
            <w:r w:rsidRPr="006819C9">
              <w:rPr>
                <w:rFonts w:cs="Arial"/>
                <w:sz w:val="20"/>
                <w:szCs w:val="22"/>
              </w:rPr>
              <w:t xml:space="preserve">Introduction d’un nouveau régime de responsabilité applicable au cas de vol, fraude, perte ou autre forme d’utilisation non autorisée de la carte de débit. </w:t>
            </w:r>
          </w:p>
        </w:tc>
        <w:tc>
          <w:tcPr>
            <w:tcW w:w="5400" w:type="dxa"/>
            <w:vMerge w:val="restart"/>
          </w:tcPr>
          <w:p w:rsidR="005B55D6" w:rsidRPr="001F5867" w:rsidRDefault="005B55D6" w:rsidP="005B55D6">
            <w:pPr>
              <w:spacing w:before="120" w:after="120"/>
              <w:jc w:val="both"/>
              <w:rPr>
                <w:rFonts w:cs="Arial"/>
                <w:sz w:val="20"/>
                <w:szCs w:val="22"/>
              </w:rPr>
            </w:pPr>
          </w:p>
        </w:tc>
      </w:tr>
      <w:tr w:rsidR="005B55D6" w:rsidRPr="006819C9" w:rsidTr="00424D61">
        <w:tc>
          <w:tcPr>
            <w:tcW w:w="630" w:type="dxa"/>
            <w:vMerge/>
            <w:vAlign w:val="center"/>
          </w:tcPr>
          <w:p w:rsidR="005B55D6" w:rsidRPr="006819C9" w:rsidRDefault="005B55D6" w:rsidP="005B55D6">
            <w:pPr>
              <w:spacing w:before="120"/>
              <w:jc w:val="center"/>
              <w:rPr>
                <w:rFonts w:cs="Arial"/>
                <w:sz w:val="20"/>
                <w:szCs w:val="22"/>
              </w:rPr>
            </w:pPr>
          </w:p>
        </w:tc>
        <w:tc>
          <w:tcPr>
            <w:tcW w:w="1260" w:type="dxa"/>
            <w:vMerge w:val="restart"/>
            <w:vAlign w:val="center"/>
          </w:tcPr>
          <w:p w:rsidR="005B55D6" w:rsidRPr="006819C9" w:rsidRDefault="005B55D6" w:rsidP="005B55D6">
            <w:pPr>
              <w:jc w:val="center"/>
              <w:rPr>
                <w:rFonts w:cs="Arial"/>
                <w:sz w:val="20"/>
                <w:szCs w:val="22"/>
              </w:rPr>
            </w:pPr>
            <w:r w:rsidRPr="006819C9">
              <w:rPr>
                <w:rFonts w:cs="Arial"/>
                <w:sz w:val="20"/>
                <w:szCs w:val="22"/>
              </w:rPr>
              <w:t>65.2 LPC</w:t>
            </w:r>
          </w:p>
        </w:tc>
        <w:tc>
          <w:tcPr>
            <w:tcW w:w="6480" w:type="dxa"/>
            <w:vMerge/>
          </w:tcPr>
          <w:p w:rsidR="005B55D6" w:rsidRPr="006819C9" w:rsidRDefault="005B55D6" w:rsidP="005B55D6">
            <w:pPr>
              <w:spacing w:before="120" w:after="120"/>
              <w:jc w:val="both"/>
              <w:rPr>
                <w:rFonts w:cs="Arial"/>
                <w:sz w:val="20"/>
                <w:szCs w:val="22"/>
                <w:u w:val="single"/>
              </w:rPr>
            </w:pPr>
          </w:p>
        </w:tc>
        <w:tc>
          <w:tcPr>
            <w:tcW w:w="5850" w:type="dxa"/>
          </w:tcPr>
          <w:p w:rsidR="005B55D6" w:rsidRPr="006819C9" w:rsidRDefault="005B55D6" w:rsidP="005B55D6">
            <w:pPr>
              <w:spacing w:before="120" w:after="120"/>
              <w:jc w:val="both"/>
              <w:rPr>
                <w:rFonts w:cs="Arial"/>
                <w:sz w:val="20"/>
                <w:szCs w:val="22"/>
              </w:rPr>
            </w:pPr>
            <w:r w:rsidRPr="006819C9">
              <w:rPr>
                <w:rFonts w:cs="Arial"/>
                <w:sz w:val="20"/>
                <w:szCs w:val="22"/>
                <w:u w:val="single"/>
              </w:rPr>
              <w:t>Non-responsabilité</w:t>
            </w:r>
            <w:r w:rsidRPr="006819C9">
              <w:rPr>
                <w:rFonts w:cs="Arial"/>
                <w:sz w:val="20"/>
                <w:szCs w:val="22"/>
              </w:rPr>
              <w:t xml:space="preserve"> : absence de responsabilité du consommateur après l’envoi d’un avis à l’émetteur. </w:t>
            </w:r>
          </w:p>
        </w:tc>
        <w:tc>
          <w:tcPr>
            <w:tcW w:w="5400" w:type="dxa"/>
            <w:vMerge/>
          </w:tcPr>
          <w:p w:rsidR="005B55D6" w:rsidRPr="006819C9" w:rsidRDefault="005B55D6" w:rsidP="005B55D6">
            <w:pPr>
              <w:spacing w:before="120" w:after="120"/>
              <w:jc w:val="both"/>
              <w:rPr>
                <w:rFonts w:cs="Arial"/>
                <w:sz w:val="20"/>
                <w:szCs w:val="22"/>
                <w:u w:val="single"/>
              </w:rPr>
            </w:pPr>
          </w:p>
        </w:tc>
      </w:tr>
      <w:tr w:rsidR="005B55D6" w:rsidRPr="006819C9" w:rsidTr="00424D61">
        <w:tc>
          <w:tcPr>
            <w:tcW w:w="630" w:type="dxa"/>
            <w:vMerge/>
            <w:vAlign w:val="center"/>
          </w:tcPr>
          <w:p w:rsidR="005B55D6" w:rsidRPr="006819C9" w:rsidRDefault="005B55D6" w:rsidP="005B55D6">
            <w:pPr>
              <w:spacing w:before="120"/>
              <w:jc w:val="center"/>
              <w:rPr>
                <w:rFonts w:cs="Arial"/>
                <w:sz w:val="20"/>
                <w:szCs w:val="22"/>
              </w:rPr>
            </w:pPr>
          </w:p>
        </w:tc>
        <w:tc>
          <w:tcPr>
            <w:tcW w:w="1260" w:type="dxa"/>
            <w:vMerge/>
            <w:vAlign w:val="center"/>
          </w:tcPr>
          <w:p w:rsidR="005B55D6" w:rsidRPr="006819C9" w:rsidRDefault="005B55D6" w:rsidP="005B55D6">
            <w:pPr>
              <w:jc w:val="center"/>
              <w:rPr>
                <w:rFonts w:cs="Arial"/>
                <w:sz w:val="20"/>
                <w:szCs w:val="22"/>
              </w:rPr>
            </w:pPr>
          </w:p>
        </w:tc>
        <w:tc>
          <w:tcPr>
            <w:tcW w:w="6480" w:type="dxa"/>
            <w:vMerge/>
          </w:tcPr>
          <w:p w:rsidR="005B55D6" w:rsidRPr="006819C9" w:rsidRDefault="005B55D6" w:rsidP="005B55D6">
            <w:pPr>
              <w:spacing w:before="120" w:after="120"/>
              <w:jc w:val="both"/>
              <w:rPr>
                <w:rFonts w:cs="Arial"/>
                <w:sz w:val="20"/>
                <w:szCs w:val="22"/>
                <w:u w:val="single"/>
              </w:rPr>
            </w:pPr>
          </w:p>
        </w:tc>
        <w:tc>
          <w:tcPr>
            <w:tcW w:w="5850" w:type="dxa"/>
          </w:tcPr>
          <w:p w:rsidR="005B55D6" w:rsidRPr="006819C9" w:rsidRDefault="005B55D6" w:rsidP="005B55D6">
            <w:pPr>
              <w:spacing w:before="120" w:after="120"/>
              <w:jc w:val="both"/>
              <w:rPr>
                <w:rFonts w:cs="Arial"/>
                <w:sz w:val="20"/>
                <w:szCs w:val="22"/>
              </w:rPr>
            </w:pPr>
            <w:r w:rsidRPr="006819C9">
              <w:rPr>
                <w:rFonts w:cs="Arial"/>
                <w:sz w:val="20"/>
                <w:szCs w:val="22"/>
                <w:u w:val="single"/>
              </w:rPr>
              <w:t>Responsabilité limitée</w:t>
            </w:r>
            <w:r w:rsidRPr="006819C9">
              <w:rPr>
                <w:rFonts w:cs="Arial"/>
                <w:sz w:val="20"/>
                <w:szCs w:val="22"/>
              </w:rPr>
              <w:t> : en l’absence d’avis à l’émetteur, responsabilité limitée à 50 $ et l’émetteur doit rembourser au consommateur toute somme supérieure.</w:t>
            </w:r>
          </w:p>
        </w:tc>
        <w:tc>
          <w:tcPr>
            <w:tcW w:w="5400" w:type="dxa"/>
            <w:vMerge/>
          </w:tcPr>
          <w:p w:rsidR="005B55D6" w:rsidRPr="006819C9" w:rsidRDefault="005B55D6" w:rsidP="005B55D6">
            <w:pPr>
              <w:spacing w:before="120" w:after="120"/>
              <w:jc w:val="both"/>
              <w:rPr>
                <w:rFonts w:cs="Arial"/>
                <w:sz w:val="20"/>
                <w:szCs w:val="22"/>
                <w:u w:val="single"/>
              </w:rPr>
            </w:pPr>
          </w:p>
        </w:tc>
      </w:tr>
      <w:tr w:rsidR="005B55D6" w:rsidRPr="006819C9" w:rsidTr="00424D61">
        <w:tc>
          <w:tcPr>
            <w:tcW w:w="630" w:type="dxa"/>
            <w:vMerge/>
            <w:vAlign w:val="center"/>
          </w:tcPr>
          <w:p w:rsidR="005B55D6" w:rsidRPr="006819C9" w:rsidRDefault="005B55D6" w:rsidP="005B55D6">
            <w:pPr>
              <w:spacing w:before="120"/>
              <w:jc w:val="center"/>
              <w:rPr>
                <w:rFonts w:cs="Arial"/>
                <w:sz w:val="20"/>
                <w:szCs w:val="22"/>
              </w:rPr>
            </w:pPr>
          </w:p>
        </w:tc>
        <w:tc>
          <w:tcPr>
            <w:tcW w:w="1260" w:type="dxa"/>
            <w:vAlign w:val="center"/>
          </w:tcPr>
          <w:p w:rsidR="005B55D6" w:rsidRPr="006819C9" w:rsidRDefault="005B55D6" w:rsidP="005B55D6">
            <w:pPr>
              <w:spacing w:before="120"/>
              <w:jc w:val="center"/>
              <w:rPr>
                <w:rFonts w:cs="Arial"/>
                <w:sz w:val="20"/>
                <w:szCs w:val="22"/>
              </w:rPr>
            </w:pPr>
            <w:r w:rsidRPr="006819C9">
              <w:rPr>
                <w:rFonts w:cs="Arial"/>
                <w:sz w:val="20"/>
                <w:szCs w:val="22"/>
              </w:rPr>
              <w:t>65.3 LPC</w:t>
            </w:r>
          </w:p>
        </w:tc>
        <w:tc>
          <w:tcPr>
            <w:tcW w:w="6480" w:type="dxa"/>
            <w:vMerge/>
          </w:tcPr>
          <w:p w:rsidR="005B55D6" w:rsidRPr="006819C9" w:rsidRDefault="005B55D6" w:rsidP="005B55D6">
            <w:pPr>
              <w:spacing w:before="120" w:after="120"/>
              <w:jc w:val="both"/>
              <w:rPr>
                <w:rFonts w:cs="Arial"/>
                <w:sz w:val="20"/>
                <w:szCs w:val="22"/>
                <w:u w:val="single"/>
              </w:rPr>
            </w:pPr>
          </w:p>
        </w:tc>
        <w:tc>
          <w:tcPr>
            <w:tcW w:w="5850" w:type="dxa"/>
          </w:tcPr>
          <w:p w:rsidR="005B55D6" w:rsidRPr="00A9542F" w:rsidRDefault="005B55D6" w:rsidP="005B55D6">
            <w:pPr>
              <w:spacing w:before="120" w:after="120"/>
              <w:jc w:val="both"/>
              <w:rPr>
                <w:rFonts w:cs="Arial"/>
                <w:sz w:val="20"/>
                <w:szCs w:val="22"/>
              </w:rPr>
            </w:pPr>
            <w:r w:rsidRPr="00A9542F">
              <w:rPr>
                <w:rFonts w:cs="Arial"/>
                <w:sz w:val="20"/>
                <w:szCs w:val="22"/>
                <w:u w:val="single"/>
              </w:rPr>
              <w:t>Remboursement</w:t>
            </w:r>
            <w:r w:rsidRPr="00A9542F">
              <w:rPr>
                <w:rFonts w:cs="Arial"/>
                <w:sz w:val="20"/>
                <w:szCs w:val="22"/>
              </w:rPr>
              <w:t> : l’émetteur doit rembourser le consommateur, dans les dix jours qui suivent l’avis, toute somme débitée de son compte après cet avis; en l’absence d’avis, dans les dix jours qui suivent la demande du consommateur, toute somme supérieure à 50 $ depuis la date du vol, fraude, perte ou autre forme d’utilisation non autorisée de la carte.</w:t>
            </w:r>
          </w:p>
        </w:tc>
        <w:tc>
          <w:tcPr>
            <w:tcW w:w="5400" w:type="dxa"/>
            <w:vMerge/>
          </w:tcPr>
          <w:p w:rsidR="005B55D6" w:rsidRPr="00A9542F" w:rsidRDefault="005B55D6" w:rsidP="005B55D6">
            <w:pPr>
              <w:spacing w:before="120" w:after="120"/>
              <w:jc w:val="both"/>
              <w:rPr>
                <w:rFonts w:cs="Arial"/>
                <w:sz w:val="20"/>
                <w:szCs w:val="22"/>
                <w:u w:val="single"/>
              </w:rPr>
            </w:pPr>
          </w:p>
        </w:tc>
      </w:tr>
      <w:tr w:rsidR="005B55D6" w:rsidRPr="006819C9" w:rsidTr="00424D61">
        <w:tc>
          <w:tcPr>
            <w:tcW w:w="630" w:type="dxa"/>
            <w:vMerge/>
            <w:vAlign w:val="center"/>
          </w:tcPr>
          <w:p w:rsidR="005B55D6" w:rsidRPr="006819C9" w:rsidRDefault="005B55D6" w:rsidP="005B55D6">
            <w:pPr>
              <w:spacing w:before="120"/>
              <w:jc w:val="center"/>
              <w:rPr>
                <w:rFonts w:cs="Arial"/>
                <w:sz w:val="20"/>
                <w:szCs w:val="22"/>
              </w:rPr>
            </w:pPr>
          </w:p>
        </w:tc>
        <w:tc>
          <w:tcPr>
            <w:tcW w:w="1260" w:type="dxa"/>
            <w:vAlign w:val="center"/>
          </w:tcPr>
          <w:p w:rsidR="005B55D6" w:rsidRPr="006819C9" w:rsidRDefault="005B55D6" w:rsidP="005B55D6">
            <w:pPr>
              <w:spacing w:before="120"/>
              <w:jc w:val="center"/>
              <w:rPr>
                <w:rFonts w:cs="Arial"/>
                <w:sz w:val="20"/>
                <w:szCs w:val="22"/>
              </w:rPr>
            </w:pPr>
            <w:r w:rsidRPr="006819C9">
              <w:rPr>
                <w:rFonts w:cs="Arial"/>
                <w:sz w:val="20"/>
                <w:szCs w:val="22"/>
              </w:rPr>
              <w:t>65.4 LPC</w:t>
            </w:r>
          </w:p>
        </w:tc>
        <w:tc>
          <w:tcPr>
            <w:tcW w:w="6480" w:type="dxa"/>
            <w:vMerge/>
          </w:tcPr>
          <w:p w:rsidR="005B55D6" w:rsidRPr="006819C9" w:rsidRDefault="005B55D6" w:rsidP="005B55D6">
            <w:pPr>
              <w:spacing w:before="120" w:after="120"/>
              <w:jc w:val="both"/>
              <w:rPr>
                <w:rFonts w:cs="Arial"/>
                <w:sz w:val="20"/>
                <w:szCs w:val="22"/>
                <w:u w:val="single"/>
              </w:rPr>
            </w:pPr>
          </w:p>
        </w:tc>
        <w:tc>
          <w:tcPr>
            <w:tcW w:w="5850" w:type="dxa"/>
          </w:tcPr>
          <w:p w:rsidR="005B55D6" w:rsidRPr="00A9542F" w:rsidRDefault="005B55D6" w:rsidP="001F79F8">
            <w:pPr>
              <w:spacing w:before="120" w:after="120"/>
              <w:jc w:val="both"/>
              <w:rPr>
                <w:rFonts w:cs="Arial"/>
                <w:sz w:val="20"/>
                <w:szCs w:val="22"/>
              </w:rPr>
            </w:pPr>
            <w:r w:rsidRPr="00A9542F">
              <w:rPr>
                <w:rFonts w:cs="Arial"/>
                <w:sz w:val="20"/>
                <w:szCs w:val="22"/>
                <w:u w:val="single"/>
              </w:rPr>
              <w:t>Responsabilité</w:t>
            </w:r>
            <w:r w:rsidRPr="00A9542F">
              <w:rPr>
                <w:rFonts w:cs="Arial"/>
                <w:sz w:val="20"/>
                <w:szCs w:val="22"/>
              </w:rPr>
              <w:t> : responsabilité du consommateur lorsque l’émetteur établit que le consommateur a commis une faute lourde dans la protection de son NIP.</w:t>
            </w:r>
          </w:p>
        </w:tc>
        <w:tc>
          <w:tcPr>
            <w:tcW w:w="5400" w:type="dxa"/>
            <w:vMerge/>
          </w:tcPr>
          <w:p w:rsidR="005B55D6" w:rsidRPr="00A9542F" w:rsidRDefault="005B55D6" w:rsidP="005B55D6">
            <w:pPr>
              <w:spacing w:before="120" w:after="120"/>
              <w:jc w:val="both"/>
              <w:rPr>
                <w:rFonts w:cs="Arial"/>
                <w:sz w:val="20"/>
                <w:szCs w:val="22"/>
                <w:u w:val="single"/>
              </w:rPr>
            </w:pPr>
          </w:p>
        </w:tc>
      </w:tr>
      <w:tr w:rsidR="00236A3B" w:rsidRPr="006819C9" w:rsidTr="00424D61">
        <w:tc>
          <w:tcPr>
            <w:tcW w:w="630" w:type="dxa"/>
            <w:vAlign w:val="center"/>
          </w:tcPr>
          <w:p w:rsidR="00236A3B" w:rsidRPr="006819C9" w:rsidRDefault="00236A3B" w:rsidP="005B55D6">
            <w:pPr>
              <w:spacing w:before="120"/>
              <w:jc w:val="center"/>
              <w:rPr>
                <w:rFonts w:cs="Arial"/>
                <w:sz w:val="20"/>
                <w:szCs w:val="22"/>
              </w:rPr>
            </w:pPr>
          </w:p>
        </w:tc>
        <w:tc>
          <w:tcPr>
            <w:tcW w:w="1260" w:type="dxa"/>
            <w:vAlign w:val="center"/>
          </w:tcPr>
          <w:p w:rsidR="00236A3B" w:rsidRPr="006819C9" w:rsidRDefault="00236A3B" w:rsidP="005B55D6">
            <w:pPr>
              <w:spacing w:before="120"/>
              <w:jc w:val="center"/>
              <w:rPr>
                <w:rFonts w:cs="Arial"/>
                <w:sz w:val="20"/>
                <w:szCs w:val="22"/>
              </w:rPr>
            </w:pPr>
          </w:p>
        </w:tc>
        <w:tc>
          <w:tcPr>
            <w:tcW w:w="6480" w:type="dxa"/>
          </w:tcPr>
          <w:p w:rsidR="00236A3B" w:rsidRPr="006819C9" w:rsidRDefault="00236A3B" w:rsidP="005B55D6">
            <w:pPr>
              <w:spacing w:before="120" w:after="120"/>
              <w:jc w:val="both"/>
              <w:rPr>
                <w:rFonts w:cs="Arial"/>
                <w:sz w:val="20"/>
                <w:szCs w:val="22"/>
                <w:u w:val="single"/>
              </w:rPr>
            </w:pPr>
          </w:p>
        </w:tc>
        <w:tc>
          <w:tcPr>
            <w:tcW w:w="5850" w:type="dxa"/>
          </w:tcPr>
          <w:p w:rsidR="00236A3B" w:rsidRPr="00A9542F" w:rsidRDefault="00236A3B" w:rsidP="001F79F8">
            <w:pPr>
              <w:spacing w:before="120" w:after="120"/>
              <w:jc w:val="both"/>
              <w:rPr>
                <w:rFonts w:cs="Arial"/>
                <w:sz w:val="20"/>
                <w:szCs w:val="22"/>
                <w:u w:val="single"/>
              </w:rPr>
            </w:pPr>
          </w:p>
        </w:tc>
        <w:tc>
          <w:tcPr>
            <w:tcW w:w="5400" w:type="dxa"/>
          </w:tcPr>
          <w:p w:rsidR="00236A3B" w:rsidRPr="00A9542F" w:rsidRDefault="00236A3B" w:rsidP="005B55D6">
            <w:pPr>
              <w:spacing w:before="120" w:after="120"/>
              <w:jc w:val="both"/>
              <w:rPr>
                <w:rFonts w:cs="Arial"/>
                <w:sz w:val="20"/>
                <w:szCs w:val="22"/>
                <w:u w:val="single"/>
              </w:rPr>
            </w:pPr>
          </w:p>
        </w:tc>
      </w:tr>
      <w:tr w:rsidR="00236A3B" w:rsidRPr="006819C9" w:rsidTr="00424D61">
        <w:tc>
          <w:tcPr>
            <w:tcW w:w="630" w:type="dxa"/>
            <w:vAlign w:val="center"/>
          </w:tcPr>
          <w:p w:rsidR="00236A3B" w:rsidRPr="006819C9" w:rsidRDefault="00236A3B" w:rsidP="005B55D6">
            <w:pPr>
              <w:spacing w:before="120"/>
              <w:jc w:val="center"/>
              <w:rPr>
                <w:rFonts w:cs="Arial"/>
                <w:sz w:val="20"/>
                <w:szCs w:val="22"/>
              </w:rPr>
            </w:pPr>
          </w:p>
        </w:tc>
        <w:tc>
          <w:tcPr>
            <w:tcW w:w="1260" w:type="dxa"/>
            <w:vAlign w:val="center"/>
          </w:tcPr>
          <w:p w:rsidR="00236A3B" w:rsidRPr="006819C9" w:rsidRDefault="00236A3B" w:rsidP="005B55D6">
            <w:pPr>
              <w:spacing w:before="120"/>
              <w:jc w:val="center"/>
              <w:rPr>
                <w:rFonts w:cs="Arial"/>
                <w:sz w:val="20"/>
                <w:szCs w:val="22"/>
              </w:rPr>
            </w:pPr>
          </w:p>
        </w:tc>
        <w:tc>
          <w:tcPr>
            <w:tcW w:w="6480" w:type="dxa"/>
          </w:tcPr>
          <w:p w:rsidR="00236A3B" w:rsidRPr="006819C9" w:rsidRDefault="00236A3B" w:rsidP="005B55D6">
            <w:pPr>
              <w:spacing w:before="120" w:after="120"/>
              <w:jc w:val="both"/>
              <w:rPr>
                <w:rFonts w:cs="Arial"/>
                <w:sz w:val="20"/>
                <w:szCs w:val="22"/>
                <w:u w:val="single"/>
              </w:rPr>
            </w:pPr>
          </w:p>
        </w:tc>
        <w:tc>
          <w:tcPr>
            <w:tcW w:w="5850" w:type="dxa"/>
          </w:tcPr>
          <w:p w:rsidR="00236A3B" w:rsidRPr="00A9542F" w:rsidRDefault="00236A3B" w:rsidP="001F79F8">
            <w:pPr>
              <w:spacing w:before="120" w:after="120"/>
              <w:jc w:val="both"/>
              <w:rPr>
                <w:rFonts w:cs="Arial"/>
                <w:sz w:val="20"/>
                <w:szCs w:val="22"/>
                <w:u w:val="single"/>
              </w:rPr>
            </w:pPr>
          </w:p>
        </w:tc>
        <w:tc>
          <w:tcPr>
            <w:tcW w:w="5400" w:type="dxa"/>
          </w:tcPr>
          <w:p w:rsidR="00236A3B" w:rsidRPr="00A9542F" w:rsidRDefault="00236A3B" w:rsidP="005B55D6">
            <w:pPr>
              <w:spacing w:before="120" w:after="120"/>
              <w:jc w:val="both"/>
              <w:rPr>
                <w:rFonts w:cs="Arial"/>
                <w:sz w:val="20"/>
                <w:szCs w:val="22"/>
                <w:u w:val="single"/>
              </w:rPr>
            </w:pPr>
          </w:p>
        </w:tc>
      </w:tr>
    </w:tbl>
    <w:p w:rsidR="009B7369" w:rsidRDefault="009B7369" w:rsidP="009B7369">
      <w:pPr>
        <w:pStyle w:val="Titre2"/>
        <w:numPr>
          <w:ilvl w:val="0"/>
          <w:numId w:val="0"/>
        </w:numPr>
        <w:ind w:left="720"/>
      </w:pPr>
    </w:p>
    <w:p w:rsidR="009672B3" w:rsidRPr="00434009" w:rsidRDefault="00B21BA4" w:rsidP="006819C9">
      <w:pPr>
        <w:pStyle w:val="Titre2"/>
      </w:pPr>
      <w:bookmarkStart w:id="7" w:name="_Toc536006787"/>
      <w:r w:rsidRPr="00434009">
        <w:t>Publicité</w:t>
      </w:r>
      <w:r>
        <w:t xml:space="preserve"> et </w:t>
      </w:r>
      <w:r w:rsidRPr="00434009">
        <w:t>pratiques de commerce</w:t>
      </w:r>
      <w:bookmarkEnd w:id="7"/>
    </w:p>
    <w:tbl>
      <w:tblPr>
        <w:tblW w:w="196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260"/>
        <w:gridCol w:w="6480"/>
        <w:gridCol w:w="5760"/>
        <w:gridCol w:w="5490"/>
      </w:tblGrid>
      <w:tr w:rsidR="00424D61" w:rsidRPr="00434009" w:rsidTr="003C4F6F">
        <w:trPr>
          <w:trHeight w:val="978"/>
          <w:tblHeader/>
        </w:trPr>
        <w:tc>
          <w:tcPr>
            <w:tcW w:w="630" w:type="dxa"/>
            <w:shd w:val="clear" w:color="auto" w:fill="EEECE1" w:themeFill="background2"/>
            <w:vAlign w:val="center"/>
          </w:tcPr>
          <w:p w:rsidR="00424D61" w:rsidRPr="00E54326" w:rsidRDefault="00424D61" w:rsidP="00424D61">
            <w:pPr>
              <w:spacing w:before="120"/>
              <w:jc w:val="center"/>
              <w:rPr>
                <w:rFonts w:cs="Arial"/>
                <w:b/>
                <w:bCs/>
                <w:sz w:val="20"/>
                <w:szCs w:val="22"/>
              </w:rPr>
            </w:pPr>
            <w:r>
              <w:rPr>
                <w:rFonts w:cs="Arial"/>
                <w:b/>
                <w:bCs/>
                <w:sz w:val="20"/>
                <w:szCs w:val="22"/>
              </w:rPr>
              <w:t>NO</w:t>
            </w:r>
          </w:p>
        </w:tc>
        <w:tc>
          <w:tcPr>
            <w:tcW w:w="1260" w:type="dxa"/>
            <w:shd w:val="clear" w:color="auto" w:fill="EEECE1" w:themeFill="background2"/>
            <w:vAlign w:val="center"/>
          </w:tcPr>
          <w:p w:rsidR="00424D61" w:rsidRPr="00E54326" w:rsidRDefault="00424D61" w:rsidP="00424D61">
            <w:pPr>
              <w:spacing w:before="120"/>
              <w:jc w:val="center"/>
              <w:rPr>
                <w:rFonts w:cs="Arial"/>
                <w:b/>
                <w:bCs/>
                <w:sz w:val="20"/>
                <w:szCs w:val="22"/>
              </w:rPr>
            </w:pPr>
            <w:r w:rsidRPr="00E54326">
              <w:rPr>
                <w:rFonts w:cs="Arial"/>
                <w:b/>
                <w:bCs/>
                <w:sz w:val="20"/>
                <w:szCs w:val="22"/>
              </w:rPr>
              <w:t>ARTICLES</w:t>
            </w:r>
          </w:p>
        </w:tc>
        <w:tc>
          <w:tcPr>
            <w:tcW w:w="6480" w:type="dxa"/>
            <w:shd w:val="clear" w:color="auto" w:fill="EEECE1" w:themeFill="background2"/>
            <w:vAlign w:val="center"/>
          </w:tcPr>
          <w:p w:rsidR="00424D61" w:rsidRPr="00434009" w:rsidRDefault="00424D61" w:rsidP="00424D61">
            <w:pPr>
              <w:spacing w:before="120" w:after="120"/>
              <w:jc w:val="center"/>
              <w:rPr>
                <w:rFonts w:cs="Arial"/>
                <w:b/>
                <w:bCs/>
                <w:sz w:val="20"/>
                <w:szCs w:val="22"/>
              </w:rPr>
            </w:pPr>
            <w:r>
              <w:rPr>
                <w:rFonts w:cs="Arial"/>
                <w:b/>
                <w:bCs/>
                <w:sz w:val="20"/>
                <w:szCs w:val="22"/>
              </w:rPr>
              <w:t>PROBLÉMATIQUE</w:t>
            </w:r>
          </w:p>
        </w:tc>
        <w:tc>
          <w:tcPr>
            <w:tcW w:w="5760" w:type="dxa"/>
            <w:shd w:val="clear" w:color="auto" w:fill="EEECE1" w:themeFill="background2"/>
            <w:vAlign w:val="center"/>
          </w:tcPr>
          <w:p w:rsidR="00424D61" w:rsidRPr="00434009" w:rsidRDefault="00424D61" w:rsidP="00424D61">
            <w:pPr>
              <w:spacing w:before="120" w:after="120"/>
              <w:jc w:val="center"/>
              <w:rPr>
                <w:rFonts w:cs="Arial"/>
                <w:b/>
                <w:bCs/>
                <w:sz w:val="20"/>
                <w:szCs w:val="22"/>
              </w:rPr>
            </w:pPr>
            <w:r>
              <w:rPr>
                <w:rFonts w:cs="Arial"/>
                <w:b/>
                <w:bCs/>
                <w:sz w:val="20"/>
                <w:szCs w:val="22"/>
              </w:rPr>
              <w:t>MESURE</w:t>
            </w:r>
          </w:p>
        </w:tc>
        <w:tc>
          <w:tcPr>
            <w:tcW w:w="5490" w:type="dxa"/>
            <w:shd w:val="clear" w:color="auto" w:fill="EEECE1" w:themeFill="background2"/>
            <w:vAlign w:val="center"/>
          </w:tcPr>
          <w:p w:rsidR="00424D61" w:rsidRDefault="00663A4D" w:rsidP="00424D61">
            <w:pPr>
              <w:spacing w:before="120" w:after="120"/>
              <w:jc w:val="center"/>
              <w:rPr>
                <w:rFonts w:cs="Arial"/>
                <w:b/>
                <w:bCs/>
                <w:sz w:val="20"/>
                <w:szCs w:val="22"/>
              </w:rPr>
            </w:pPr>
            <w:r>
              <w:rPr>
                <w:rFonts w:cs="Arial"/>
                <w:b/>
                <w:bCs/>
                <w:sz w:val="20"/>
                <w:szCs w:val="22"/>
              </w:rPr>
              <w:t>COMMENTAIRES</w:t>
            </w:r>
          </w:p>
        </w:tc>
      </w:tr>
      <w:tr w:rsidR="000C642D" w:rsidRPr="00434009" w:rsidTr="00204F40">
        <w:trPr>
          <w:trHeight w:val="800"/>
        </w:trPr>
        <w:tc>
          <w:tcPr>
            <w:tcW w:w="630" w:type="dxa"/>
            <w:vAlign w:val="center"/>
          </w:tcPr>
          <w:p w:rsidR="000C642D" w:rsidRPr="00E54326" w:rsidRDefault="007E337B" w:rsidP="000C642D">
            <w:pPr>
              <w:spacing w:before="120"/>
              <w:jc w:val="center"/>
              <w:rPr>
                <w:rFonts w:cs="Arial"/>
                <w:sz w:val="20"/>
                <w:szCs w:val="22"/>
              </w:rPr>
            </w:pPr>
            <w:r>
              <w:rPr>
                <w:rFonts w:cs="Arial"/>
                <w:sz w:val="20"/>
                <w:szCs w:val="22"/>
              </w:rPr>
              <w:t>4</w:t>
            </w:r>
            <w:r w:rsidR="003B32C6">
              <w:rPr>
                <w:rFonts w:cs="Arial"/>
                <w:sz w:val="20"/>
                <w:szCs w:val="22"/>
              </w:rPr>
              <w:t>3</w:t>
            </w:r>
          </w:p>
        </w:tc>
        <w:tc>
          <w:tcPr>
            <w:tcW w:w="1260" w:type="dxa"/>
            <w:vAlign w:val="center"/>
          </w:tcPr>
          <w:p w:rsidR="000C642D" w:rsidRPr="00E54326" w:rsidRDefault="000C642D" w:rsidP="000C642D">
            <w:pPr>
              <w:spacing w:before="120"/>
              <w:jc w:val="center"/>
              <w:rPr>
                <w:rFonts w:cs="Arial"/>
                <w:sz w:val="20"/>
                <w:szCs w:val="22"/>
              </w:rPr>
            </w:pPr>
            <w:r w:rsidRPr="00E54326">
              <w:rPr>
                <w:rFonts w:cs="Arial"/>
                <w:sz w:val="20"/>
                <w:szCs w:val="22"/>
              </w:rPr>
              <w:t>244 LPC</w:t>
            </w:r>
          </w:p>
          <w:p w:rsidR="000C642D" w:rsidRPr="00E54326" w:rsidRDefault="000C642D" w:rsidP="000C642D">
            <w:pPr>
              <w:jc w:val="center"/>
              <w:rPr>
                <w:rFonts w:cs="Arial"/>
                <w:sz w:val="20"/>
                <w:szCs w:val="22"/>
              </w:rPr>
            </w:pPr>
          </w:p>
        </w:tc>
        <w:tc>
          <w:tcPr>
            <w:tcW w:w="6480" w:type="dxa"/>
          </w:tcPr>
          <w:p w:rsidR="000C642D" w:rsidRPr="00434009" w:rsidRDefault="000C642D" w:rsidP="000C642D">
            <w:pPr>
              <w:spacing w:before="120" w:after="120"/>
              <w:jc w:val="both"/>
              <w:rPr>
                <w:rFonts w:cs="Arial"/>
                <w:sz w:val="20"/>
                <w:szCs w:val="22"/>
              </w:rPr>
            </w:pPr>
            <w:r w:rsidRPr="00741C6C">
              <w:rPr>
                <w:rFonts w:cs="Arial"/>
                <w:sz w:val="20"/>
                <w:szCs w:val="22"/>
              </w:rPr>
              <w:t>La règle visant à interdire la publicité incitative au crédit prévoit que dans une publicité sur un bien ou un service, on ne peut informer le consommateur sur le crédit qu’on lui offre sauf pour en mentionner la disponibilité. Cette règle semble contredire les dispositions visant à ce que la publicité sur le crédit fournisse suffisamment de détails afin d’informer le consommateur des conditions offertes. En outre, elle est d’application difficile dans un marché intégré et ne correspond pas aux règles en matière de publicité sur la location à long terme, alors que les deux modes de financement sont souvent offerts par les mêmes commerçants, sur les mêmes biens.</w:t>
            </w:r>
          </w:p>
        </w:tc>
        <w:tc>
          <w:tcPr>
            <w:tcW w:w="5760" w:type="dxa"/>
          </w:tcPr>
          <w:p w:rsidR="000C642D" w:rsidRPr="00434009" w:rsidRDefault="000C642D" w:rsidP="000C642D">
            <w:pPr>
              <w:spacing w:before="120" w:after="120"/>
              <w:jc w:val="both"/>
              <w:rPr>
                <w:rFonts w:cs="Arial"/>
                <w:sz w:val="20"/>
                <w:szCs w:val="22"/>
              </w:rPr>
            </w:pPr>
            <w:r w:rsidRPr="00434009">
              <w:rPr>
                <w:rFonts w:cs="Arial"/>
                <w:sz w:val="20"/>
                <w:szCs w:val="22"/>
                <w:u w:val="single"/>
              </w:rPr>
              <w:t>Publicité sur le crédit</w:t>
            </w:r>
            <w:r w:rsidRPr="00434009">
              <w:rPr>
                <w:rFonts w:cs="Arial"/>
                <w:sz w:val="20"/>
                <w:szCs w:val="22"/>
              </w:rPr>
              <w:t xml:space="preserve"> : </w:t>
            </w:r>
          </w:p>
          <w:p w:rsidR="000C642D" w:rsidRPr="00434009" w:rsidRDefault="000C642D" w:rsidP="000C642D">
            <w:pPr>
              <w:numPr>
                <w:ilvl w:val="0"/>
                <w:numId w:val="3"/>
              </w:numPr>
              <w:spacing w:before="120" w:after="120"/>
              <w:jc w:val="both"/>
              <w:rPr>
                <w:rFonts w:cs="Arial"/>
                <w:sz w:val="20"/>
                <w:szCs w:val="22"/>
              </w:rPr>
            </w:pPr>
            <w:r w:rsidRPr="00434009">
              <w:rPr>
                <w:rFonts w:cs="Arial"/>
                <w:sz w:val="20"/>
                <w:szCs w:val="22"/>
              </w:rPr>
              <w:t>Abrogation de la disposition qui prévoit que, dans une publicité sur un bien ou un service, on ne peut informer le consommateur sur le crédit qu’on lui offre sauf pour en mentionner la disponibilité.</w:t>
            </w:r>
          </w:p>
        </w:tc>
        <w:tc>
          <w:tcPr>
            <w:tcW w:w="5490" w:type="dxa"/>
          </w:tcPr>
          <w:p w:rsidR="001C09C3" w:rsidRPr="00D856D7" w:rsidRDefault="001C09C3" w:rsidP="00741C6C">
            <w:pPr>
              <w:spacing w:before="120" w:after="120"/>
              <w:jc w:val="both"/>
              <w:rPr>
                <w:rFonts w:cs="Arial"/>
                <w:sz w:val="20"/>
                <w:szCs w:val="22"/>
              </w:rPr>
            </w:pPr>
          </w:p>
        </w:tc>
      </w:tr>
      <w:tr w:rsidR="00370C1D" w:rsidRPr="00434009" w:rsidTr="00424D61">
        <w:trPr>
          <w:trHeight w:val="718"/>
        </w:trPr>
        <w:tc>
          <w:tcPr>
            <w:tcW w:w="630" w:type="dxa"/>
            <w:vAlign w:val="center"/>
          </w:tcPr>
          <w:p w:rsidR="00370C1D" w:rsidRPr="00E54326" w:rsidRDefault="006A07FB" w:rsidP="00370C1D">
            <w:pPr>
              <w:jc w:val="center"/>
              <w:rPr>
                <w:rFonts w:cs="Arial"/>
                <w:sz w:val="20"/>
                <w:szCs w:val="22"/>
              </w:rPr>
            </w:pPr>
            <w:r>
              <w:rPr>
                <w:rFonts w:cs="Arial"/>
                <w:sz w:val="20"/>
                <w:szCs w:val="22"/>
              </w:rPr>
              <w:t>4</w:t>
            </w:r>
            <w:r w:rsidR="003B32C6">
              <w:rPr>
                <w:rFonts w:cs="Arial"/>
                <w:sz w:val="20"/>
                <w:szCs w:val="22"/>
              </w:rPr>
              <w:t>4</w:t>
            </w:r>
          </w:p>
        </w:tc>
        <w:tc>
          <w:tcPr>
            <w:tcW w:w="1260" w:type="dxa"/>
            <w:vAlign w:val="center"/>
          </w:tcPr>
          <w:p w:rsidR="00370C1D" w:rsidRPr="00E54326" w:rsidRDefault="00370C1D" w:rsidP="00370C1D">
            <w:pPr>
              <w:jc w:val="center"/>
              <w:rPr>
                <w:rFonts w:cs="Arial"/>
                <w:sz w:val="20"/>
                <w:szCs w:val="22"/>
              </w:rPr>
            </w:pPr>
            <w:r w:rsidRPr="00E54326">
              <w:rPr>
                <w:rFonts w:cs="Arial"/>
                <w:sz w:val="20"/>
                <w:szCs w:val="22"/>
              </w:rPr>
              <w:t>245 LPC</w:t>
            </w:r>
          </w:p>
        </w:tc>
        <w:tc>
          <w:tcPr>
            <w:tcW w:w="6480" w:type="dxa"/>
          </w:tcPr>
          <w:p w:rsidR="00370C1D" w:rsidRPr="00434009" w:rsidRDefault="00370C1D" w:rsidP="00370C1D">
            <w:pPr>
              <w:spacing w:before="120" w:after="120"/>
              <w:jc w:val="both"/>
              <w:rPr>
                <w:rFonts w:cs="Arial"/>
                <w:sz w:val="20"/>
                <w:szCs w:val="22"/>
              </w:rPr>
            </w:pPr>
            <w:r w:rsidRPr="00434009">
              <w:rPr>
                <w:rFonts w:cs="Arial"/>
                <w:sz w:val="20"/>
                <w:szCs w:val="22"/>
              </w:rPr>
              <w:t>Dans la publicité, les biens sont souvent offerts soit à crédit, soit en location à long terme. L’interdiction d’illustrer un bien ou un service dans une publicité concernant du crédit n’existant pas pour la publicité concernant la location à long terme, l’interdiction est en pratique inapplicable.</w:t>
            </w:r>
          </w:p>
          <w:p w:rsidR="00370C1D" w:rsidRPr="00434009" w:rsidRDefault="00370C1D" w:rsidP="00370C1D">
            <w:pPr>
              <w:spacing w:before="120" w:after="120"/>
              <w:jc w:val="both"/>
              <w:rPr>
                <w:rFonts w:cs="Arial"/>
                <w:sz w:val="20"/>
                <w:szCs w:val="22"/>
              </w:rPr>
            </w:pPr>
            <w:r w:rsidRPr="00434009">
              <w:rPr>
                <w:rFonts w:cs="Arial"/>
                <w:sz w:val="20"/>
                <w:szCs w:val="22"/>
              </w:rPr>
              <w:lastRenderedPageBreak/>
              <w:t>Il apparaît préférable d’obliger notamment les commerçants à présenter une illustration fidèle du bien</w:t>
            </w:r>
            <w:r w:rsidR="00212195">
              <w:rPr>
                <w:rFonts w:cs="Arial"/>
                <w:sz w:val="20"/>
                <w:szCs w:val="22"/>
              </w:rPr>
              <w:t xml:space="preserve"> ou du service</w:t>
            </w:r>
            <w:r w:rsidRPr="00434009">
              <w:rPr>
                <w:rFonts w:cs="Arial"/>
                <w:sz w:val="20"/>
                <w:szCs w:val="22"/>
              </w:rPr>
              <w:t xml:space="preserve"> véritablement offert</w:t>
            </w:r>
            <w:r>
              <w:rPr>
                <w:rFonts w:cs="Arial"/>
                <w:sz w:val="20"/>
                <w:szCs w:val="22"/>
              </w:rPr>
              <w:t>.</w:t>
            </w:r>
            <w:r w:rsidR="00212195">
              <w:rPr>
                <w:rFonts w:cs="Arial"/>
                <w:sz w:val="20"/>
                <w:szCs w:val="22"/>
              </w:rPr>
              <w:t xml:space="preserve"> Une telle obligation a été introduite à la LPC et est en vigueur depuis le 1</w:t>
            </w:r>
            <w:r w:rsidR="00212195" w:rsidRPr="00212195">
              <w:rPr>
                <w:rFonts w:cs="Arial"/>
                <w:sz w:val="20"/>
                <w:szCs w:val="22"/>
                <w:vertAlign w:val="superscript"/>
              </w:rPr>
              <w:t>er</w:t>
            </w:r>
            <w:r w:rsidR="00212195">
              <w:rPr>
                <w:rFonts w:cs="Arial"/>
                <w:sz w:val="20"/>
                <w:szCs w:val="22"/>
              </w:rPr>
              <w:t xml:space="preserve"> août 2018.</w:t>
            </w:r>
          </w:p>
        </w:tc>
        <w:tc>
          <w:tcPr>
            <w:tcW w:w="5760" w:type="dxa"/>
          </w:tcPr>
          <w:p w:rsidR="00370C1D" w:rsidRPr="00434009" w:rsidRDefault="00370C1D" w:rsidP="00370C1D">
            <w:pPr>
              <w:numPr>
                <w:ilvl w:val="0"/>
                <w:numId w:val="3"/>
              </w:numPr>
              <w:spacing w:before="120" w:after="120"/>
              <w:jc w:val="both"/>
              <w:rPr>
                <w:rFonts w:cs="Arial"/>
                <w:sz w:val="20"/>
                <w:szCs w:val="22"/>
              </w:rPr>
            </w:pPr>
            <w:r w:rsidRPr="00434009">
              <w:rPr>
                <w:rFonts w:cs="Arial"/>
                <w:sz w:val="20"/>
                <w:szCs w:val="22"/>
              </w:rPr>
              <w:lastRenderedPageBreak/>
              <w:t>Retrait de l’interdiction d’illustrer un bien ou un service dans une publicité concernant du crédit.</w:t>
            </w:r>
          </w:p>
          <w:p w:rsidR="00370C1D" w:rsidRPr="00434009" w:rsidRDefault="00370C1D" w:rsidP="00370C1D">
            <w:pPr>
              <w:spacing w:before="120" w:after="120"/>
              <w:jc w:val="both"/>
              <w:rPr>
                <w:rFonts w:cs="Arial"/>
                <w:sz w:val="20"/>
                <w:szCs w:val="22"/>
                <w:u w:val="single"/>
              </w:rPr>
            </w:pPr>
          </w:p>
        </w:tc>
        <w:tc>
          <w:tcPr>
            <w:tcW w:w="5490" w:type="dxa"/>
          </w:tcPr>
          <w:p w:rsidR="00370C1D" w:rsidRPr="003764B7" w:rsidRDefault="00370C1D" w:rsidP="00370C1D">
            <w:pPr>
              <w:spacing w:before="120" w:after="120"/>
              <w:jc w:val="both"/>
              <w:rPr>
                <w:rFonts w:cs="Arial"/>
                <w:sz w:val="20"/>
                <w:szCs w:val="22"/>
              </w:rPr>
            </w:pPr>
          </w:p>
        </w:tc>
      </w:tr>
      <w:tr w:rsidR="007323D6" w:rsidRPr="00434009" w:rsidTr="00424D61">
        <w:trPr>
          <w:trHeight w:val="889"/>
        </w:trPr>
        <w:tc>
          <w:tcPr>
            <w:tcW w:w="630" w:type="dxa"/>
            <w:vAlign w:val="center"/>
          </w:tcPr>
          <w:p w:rsidR="007323D6" w:rsidRPr="00E54326" w:rsidRDefault="00D1080A" w:rsidP="007323D6">
            <w:pPr>
              <w:spacing w:before="120"/>
              <w:jc w:val="center"/>
              <w:rPr>
                <w:rFonts w:cs="Arial"/>
                <w:sz w:val="20"/>
                <w:szCs w:val="22"/>
              </w:rPr>
            </w:pPr>
            <w:r>
              <w:rPr>
                <w:rFonts w:cs="Arial"/>
                <w:sz w:val="20"/>
                <w:szCs w:val="22"/>
              </w:rPr>
              <w:t>4</w:t>
            </w:r>
            <w:r w:rsidR="003B32C6">
              <w:rPr>
                <w:rFonts w:cs="Arial"/>
                <w:sz w:val="20"/>
                <w:szCs w:val="22"/>
              </w:rPr>
              <w:t>5</w:t>
            </w:r>
          </w:p>
        </w:tc>
        <w:tc>
          <w:tcPr>
            <w:tcW w:w="1260" w:type="dxa"/>
            <w:vAlign w:val="center"/>
          </w:tcPr>
          <w:p w:rsidR="007323D6" w:rsidRPr="00E54326" w:rsidRDefault="007323D6" w:rsidP="007323D6">
            <w:pPr>
              <w:spacing w:before="120"/>
              <w:jc w:val="center"/>
              <w:rPr>
                <w:rFonts w:cs="Arial"/>
                <w:sz w:val="20"/>
                <w:szCs w:val="22"/>
              </w:rPr>
            </w:pPr>
            <w:r w:rsidRPr="00E54326">
              <w:rPr>
                <w:rFonts w:cs="Arial"/>
                <w:sz w:val="20"/>
                <w:szCs w:val="22"/>
              </w:rPr>
              <w:t>246.1 LPC</w:t>
            </w:r>
          </w:p>
        </w:tc>
        <w:tc>
          <w:tcPr>
            <w:tcW w:w="6480" w:type="dxa"/>
          </w:tcPr>
          <w:p w:rsidR="007323D6" w:rsidRPr="00434009" w:rsidRDefault="007323D6" w:rsidP="007323D6">
            <w:pPr>
              <w:spacing w:before="120" w:after="120"/>
              <w:jc w:val="both"/>
              <w:rPr>
                <w:rFonts w:cs="Arial"/>
                <w:sz w:val="20"/>
                <w:szCs w:val="22"/>
              </w:rPr>
            </w:pPr>
            <w:r w:rsidRPr="00434009">
              <w:rPr>
                <w:rFonts w:cs="Arial"/>
                <w:bCs/>
                <w:sz w:val="20"/>
                <w:szCs w:val="22"/>
              </w:rPr>
              <w:t xml:space="preserve">La LPC interdit au commerçant d’indiquer un taux relatif au crédit dans un message publicitaire concernant le crédit à moins qu’il n’indique également, de façon aussi évidente, le taux de crédit calculé conformément à la loi. La loi ne prévoit toutefois pas une interdiction similaire pour les messages publicitaires concernant le louage à long terme de biens. </w:t>
            </w:r>
          </w:p>
        </w:tc>
        <w:tc>
          <w:tcPr>
            <w:tcW w:w="5760" w:type="dxa"/>
          </w:tcPr>
          <w:p w:rsidR="007323D6" w:rsidRPr="00434009" w:rsidRDefault="007323D6" w:rsidP="007323D6">
            <w:pPr>
              <w:numPr>
                <w:ilvl w:val="0"/>
                <w:numId w:val="3"/>
              </w:numPr>
              <w:spacing w:before="120" w:after="120"/>
              <w:jc w:val="both"/>
              <w:rPr>
                <w:rFonts w:cs="Arial"/>
                <w:sz w:val="20"/>
                <w:szCs w:val="22"/>
                <w:u w:val="single"/>
              </w:rPr>
            </w:pPr>
            <w:r w:rsidRPr="00434009">
              <w:rPr>
                <w:rFonts w:cs="Arial"/>
                <w:bCs/>
                <w:sz w:val="20"/>
                <w:szCs w:val="22"/>
              </w:rPr>
              <w:t>Dans la publicité sur le louage à long terme de biens, obligation de divulguer le taux de crédit implicite, en présence de tout taux relatif au crédit implicite</w:t>
            </w:r>
            <w:r>
              <w:rPr>
                <w:rFonts w:cs="Arial"/>
                <w:bCs/>
                <w:sz w:val="20"/>
                <w:szCs w:val="22"/>
              </w:rPr>
              <w:t xml:space="preserve">; </w:t>
            </w:r>
            <w:r w:rsidRPr="006C6E0F">
              <w:rPr>
                <w:rFonts w:cs="Arial"/>
                <w:bCs/>
                <w:sz w:val="20"/>
                <w:szCs w:val="22"/>
              </w:rPr>
              <w:t>obligation d’inclure dans le taux de crédit divulgué la valeur du rabais ou de l’escompte si le bien est payé comptant.</w:t>
            </w:r>
          </w:p>
        </w:tc>
        <w:tc>
          <w:tcPr>
            <w:tcW w:w="5490" w:type="dxa"/>
          </w:tcPr>
          <w:p w:rsidR="007323D6" w:rsidRPr="003764B7" w:rsidRDefault="007323D6" w:rsidP="00CD5F87">
            <w:pPr>
              <w:spacing w:before="120" w:after="120"/>
              <w:jc w:val="both"/>
              <w:rPr>
                <w:rFonts w:cs="Arial"/>
                <w:sz w:val="20"/>
                <w:szCs w:val="22"/>
              </w:rPr>
            </w:pPr>
          </w:p>
        </w:tc>
      </w:tr>
      <w:tr w:rsidR="00D73FAB" w:rsidRPr="00434009" w:rsidTr="00D73FAB">
        <w:trPr>
          <w:trHeight w:val="143"/>
        </w:trPr>
        <w:tc>
          <w:tcPr>
            <w:tcW w:w="630" w:type="dxa"/>
            <w:vAlign w:val="center"/>
          </w:tcPr>
          <w:p w:rsidR="00D73FAB" w:rsidRDefault="00D73FAB" w:rsidP="007323D6">
            <w:pPr>
              <w:spacing w:before="120"/>
              <w:jc w:val="center"/>
              <w:rPr>
                <w:rFonts w:cs="Arial"/>
                <w:sz w:val="20"/>
                <w:szCs w:val="22"/>
              </w:rPr>
            </w:pPr>
          </w:p>
        </w:tc>
        <w:tc>
          <w:tcPr>
            <w:tcW w:w="1260" w:type="dxa"/>
            <w:vAlign w:val="center"/>
          </w:tcPr>
          <w:p w:rsidR="00D73FAB" w:rsidRPr="00E54326" w:rsidRDefault="00D73FAB" w:rsidP="007323D6">
            <w:pPr>
              <w:spacing w:before="120"/>
              <w:jc w:val="center"/>
              <w:rPr>
                <w:rFonts w:cs="Arial"/>
                <w:sz w:val="20"/>
                <w:szCs w:val="22"/>
              </w:rPr>
            </w:pPr>
          </w:p>
        </w:tc>
        <w:tc>
          <w:tcPr>
            <w:tcW w:w="6480" w:type="dxa"/>
          </w:tcPr>
          <w:p w:rsidR="00D73FAB" w:rsidRPr="00434009" w:rsidRDefault="00D73FAB" w:rsidP="007323D6">
            <w:pPr>
              <w:spacing w:before="120" w:after="120"/>
              <w:jc w:val="both"/>
              <w:rPr>
                <w:rFonts w:cs="Arial"/>
                <w:bCs/>
                <w:sz w:val="20"/>
                <w:szCs w:val="22"/>
              </w:rPr>
            </w:pPr>
          </w:p>
        </w:tc>
        <w:tc>
          <w:tcPr>
            <w:tcW w:w="5760" w:type="dxa"/>
          </w:tcPr>
          <w:p w:rsidR="00D73FAB" w:rsidRPr="00434009" w:rsidRDefault="00D73FAB" w:rsidP="00D73FAB">
            <w:pPr>
              <w:spacing w:before="120" w:after="120"/>
              <w:ind w:left="360"/>
              <w:jc w:val="both"/>
              <w:rPr>
                <w:rFonts w:cs="Arial"/>
                <w:bCs/>
                <w:sz w:val="20"/>
                <w:szCs w:val="22"/>
              </w:rPr>
            </w:pPr>
          </w:p>
        </w:tc>
        <w:tc>
          <w:tcPr>
            <w:tcW w:w="5490" w:type="dxa"/>
          </w:tcPr>
          <w:p w:rsidR="00D73FAB" w:rsidRPr="003764B7" w:rsidRDefault="00D73FAB" w:rsidP="00CD5F87">
            <w:pPr>
              <w:spacing w:before="120" w:after="120"/>
              <w:jc w:val="both"/>
              <w:rPr>
                <w:rFonts w:cs="Arial"/>
                <w:sz w:val="20"/>
                <w:szCs w:val="22"/>
              </w:rPr>
            </w:pPr>
          </w:p>
        </w:tc>
      </w:tr>
      <w:tr w:rsidR="00D73FAB" w:rsidRPr="00434009" w:rsidTr="00D73FAB">
        <w:trPr>
          <w:trHeight w:val="75"/>
        </w:trPr>
        <w:tc>
          <w:tcPr>
            <w:tcW w:w="630" w:type="dxa"/>
            <w:vAlign w:val="center"/>
          </w:tcPr>
          <w:p w:rsidR="00D73FAB" w:rsidRDefault="00D73FAB" w:rsidP="007323D6">
            <w:pPr>
              <w:spacing w:before="120"/>
              <w:jc w:val="center"/>
              <w:rPr>
                <w:rFonts w:cs="Arial"/>
                <w:sz w:val="20"/>
                <w:szCs w:val="22"/>
              </w:rPr>
            </w:pPr>
          </w:p>
        </w:tc>
        <w:tc>
          <w:tcPr>
            <w:tcW w:w="1260" w:type="dxa"/>
            <w:vAlign w:val="center"/>
          </w:tcPr>
          <w:p w:rsidR="00D73FAB" w:rsidRPr="00E54326" w:rsidRDefault="00D73FAB" w:rsidP="007323D6">
            <w:pPr>
              <w:spacing w:before="120"/>
              <w:jc w:val="center"/>
              <w:rPr>
                <w:rFonts w:cs="Arial"/>
                <w:sz w:val="20"/>
                <w:szCs w:val="22"/>
              </w:rPr>
            </w:pPr>
          </w:p>
        </w:tc>
        <w:tc>
          <w:tcPr>
            <w:tcW w:w="6480" w:type="dxa"/>
          </w:tcPr>
          <w:p w:rsidR="00D73FAB" w:rsidRPr="00434009" w:rsidRDefault="00D73FAB" w:rsidP="007323D6">
            <w:pPr>
              <w:spacing w:before="120" w:after="120"/>
              <w:jc w:val="both"/>
              <w:rPr>
                <w:rFonts w:cs="Arial"/>
                <w:bCs/>
                <w:sz w:val="20"/>
                <w:szCs w:val="22"/>
              </w:rPr>
            </w:pPr>
          </w:p>
        </w:tc>
        <w:tc>
          <w:tcPr>
            <w:tcW w:w="5760" w:type="dxa"/>
          </w:tcPr>
          <w:p w:rsidR="00D73FAB" w:rsidRPr="00434009" w:rsidRDefault="00D73FAB" w:rsidP="00D73FAB">
            <w:pPr>
              <w:spacing w:before="120" w:after="120"/>
              <w:jc w:val="both"/>
              <w:rPr>
                <w:rFonts w:cs="Arial"/>
                <w:bCs/>
                <w:sz w:val="20"/>
                <w:szCs w:val="22"/>
              </w:rPr>
            </w:pPr>
          </w:p>
        </w:tc>
        <w:tc>
          <w:tcPr>
            <w:tcW w:w="5490" w:type="dxa"/>
          </w:tcPr>
          <w:p w:rsidR="00D73FAB" w:rsidRPr="003764B7" w:rsidRDefault="00D73FAB" w:rsidP="00CD5F87">
            <w:pPr>
              <w:spacing w:before="120" w:after="120"/>
              <w:jc w:val="both"/>
              <w:rPr>
                <w:rFonts w:cs="Arial"/>
                <w:sz w:val="20"/>
                <w:szCs w:val="22"/>
              </w:rPr>
            </w:pPr>
          </w:p>
        </w:tc>
      </w:tr>
    </w:tbl>
    <w:p w:rsidR="005B17BB" w:rsidRDefault="005B17BB" w:rsidP="00B62265">
      <w:pPr>
        <w:pStyle w:val="Paragraphedeliste"/>
        <w:spacing w:before="120" w:after="120"/>
        <w:ind w:left="0"/>
        <w:rPr>
          <w:rFonts w:cs="Arial"/>
          <w:b/>
          <w:color w:val="000000"/>
          <w:sz w:val="20"/>
          <w:szCs w:val="22"/>
        </w:rPr>
      </w:pPr>
    </w:p>
    <w:p w:rsidR="00A7101F" w:rsidRDefault="00A7101F" w:rsidP="00B62265">
      <w:pPr>
        <w:pStyle w:val="Paragraphedeliste"/>
        <w:spacing w:before="120" w:after="120"/>
        <w:ind w:left="0"/>
        <w:rPr>
          <w:rFonts w:cs="Arial"/>
          <w:b/>
          <w:color w:val="000000"/>
          <w:sz w:val="20"/>
          <w:szCs w:val="22"/>
        </w:rPr>
      </w:pPr>
    </w:p>
    <w:p w:rsidR="009672B3" w:rsidRPr="00434009" w:rsidRDefault="00B21BA4" w:rsidP="00F93689">
      <w:pPr>
        <w:pStyle w:val="Titre2"/>
      </w:pPr>
      <w:bookmarkStart w:id="8" w:name="_Toc536006788"/>
      <w:r>
        <w:t>Autres mesures</w:t>
      </w:r>
      <w:bookmarkEnd w:id="8"/>
    </w:p>
    <w:tbl>
      <w:tblPr>
        <w:tblW w:w="195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60"/>
        <w:gridCol w:w="6480"/>
        <w:gridCol w:w="5760"/>
        <w:gridCol w:w="5490"/>
      </w:tblGrid>
      <w:tr w:rsidR="000D6902" w:rsidRPr="00434009" w:rsidTr="003C4F6F">
        <w:trPr>
          <w:trHeight w:val="978"/>
          <w:tblHeader/>
        </w:trPr>
        <w:tc>
          <w:tcPr>
            <w:tcW w:w="540" w:type="dxa"/>
            <w:shd w:val="clear" w:color="auto" w:fill="EEECE1" w:themeFill="background2"/>
            <w:vAlign w:val="center"/>
          </w:tcPr>
          <w:p w:rsidR="000D6902" w:rsidRPr="00120FEF" w:rsidRDefault="000D6902" w:rsidP="000D6902">
            <w:pPr>
              <w:spacing w:before="120"/>
              <w:jc w:val="center"/>
              <w:rPr>
                <w:rFonts w:cs="Arial"/>
                <w:b/>
                <w:bCs/>
                <w:sz w:val="20"/>
                <w:szCs w:val="22"/>
              </w:rPr>
            </w:pPr>
            <w:r>
              <w:rPr>
                <w:rFonts w:cs="Arial"/>
                <w:b/>
                <w:bCs/>
                <w:sz w:val="20"/>
                <w:szCs w:val="22"/>
              </w:rPr>
              <w:t>NO</w:t>
            </w:r>
          </w:p>
        </w:tc>
        <w:tc>
          <w:tcPr>
            <w:tcW w:w="1260" w:type="dxa"/>
            <w:shd w:val="clear" w:color="auto" w:fill="EEECE1" w:themeFill="background2"/>
            <w:vAlign w:val="center"/>
          </w:tcPr>
          <w:p w:rsidR="000D6902" w:rsidRPr="00120FEF" w:rsidRDefault="000D6902" w:rsidP="000D6902">
            <w:pPr>
              <w:spacing w:before="120"/>
              <w:jc w:val="center"/>
              <w:rPr>
                <w:rFonts w:cs="Arial"/>
                <w:b/>
                <w:bCs/>
                <w:sz w:val="20"/>
                <w:szCs w:val="22"/>
              </w:rPr>
            </w:pPr>
            <w:r w:rsidRPr="00120FEF">
              <w:rPr>
                <w:rFonts w:cs="Arial"/>
                <w:b/>
                <w:bCs/>
                <w:sz w:val="20"/>
                <w:szCs w:val="22"/>
              </w:rPr>
              <w:t>ARTICLES</w:t>
            </w:r>
          </w:p>
        </w:tc>
        <w:tc>
          <w:tcPr>
            <w:tcW w:w="6480" w:type="dxa"/>
            <w:shd w:val="clear" w:color="auto" w:fill="EEECE1" w:themeFill="background2"/>
            <w:vAlign w:val="center"/>
          </w:tcPr>
          <w:p w:rsidR="000D6902" w:rsidRPr="00434009" w:rsidRDefault="000D6902" w:rsidP="000D6902">
            <w:pPr>
              <w:spacing w:before="120" w:after="120"/>
              <w:jc w:val="center"/>
              <w:rPr>
                <w:rFonts w:cs="Arial"/>
                <w:b/>
                <w:bCs/>
                <w:sz w:val="20"/>
                <w:szCs w:val="22"/>
              </w:rPr>
            </w:pPr>
            <w:r>
              <w:rPr>
                <w:rFonts w:cs="Arial"/>
                <w:b/>
                <w:bCs/>
                <w:sz w:val="20"/>
                <w:szCs w:val="22"/>
              </w:rPr>
              <w:t>PROBLÉMATIQUE</w:t>
            </w:r>
          </w:p>
        </w:tc>
        <w:tc>
          <w:tcPr>
            <w:tcW w:w="5760" w:type="dxa"/>
            <w:shd w:val="clear" w:color="auto" w:fill="EEECE1" w:themeFill="background2"/>
            <w:vAlign w:val="center"/>
          </w:tcPr>
          <w:p w:rsidR="000D6902" w:rsidRPr="00434009" w:rsidRDefault="000D6902" w:rsidP="000D6902">
            <w:pPr>
              <w:spacing w:before="120" w:after="120"/>
              <w:jc w:val="center"/>
              <w:rPr>
                <w:rFonts w:cs="Arial"/>
                <w:b/>
                <w:bCs/>
                <w:sz w:val="20"/>
                <w:szCs w:val="22"/>
              </w:rPr>
            </w:pPr>
            <w:r>
              <w:rPr>
                <w:rFonts w:cs="Arial"/>
                <w:b/>
                <w:bCs/>
                <w:sz w:val="20"/>
                <w:szCs w:val="22"/>
              </w:rPr>
              <w:t>MESURE</w:t>
            </w:r>
          </w:p>
        </w:tc>
        <w:tc>
          <w:tcPr>
            <w:tcW w:w="5490" w:type="dxa"/>
            <w:shd w:val="clear" w:color="auto" w:fill="EEECE1" w:themeFill="background2"/>
            <w:vAlign w:val="center"/>
          </w:tcPr>
          <w:p w:rsidR="000D6902" w:rsidRDefault="00663A4D" w:rsidP="000D6902">
            <w:pPr>
              <w:spacing w:before="120" w:after="120"/>
              <w:jc w:val="center"/>
              <w:rPr>
                <w:rFonts w:cs="Arial"/>
                <w:b/>
                <w:bCs/>
                <w:sz w:val="20"/>
                <w:szCs w:val="22"/>
              </w:rPr>
            </w:pPr>
            <w:r>
              <w:rPr>
                <w:rFonts w:cs="Arial"/>
                <w:b/>
                <w:bCs/>
                <w:sz w:val="20"/>
                <w:szCs w:val="22"/>
              </w:rPr>
              <w:t>COMMENTAIRES</w:t>
            </w:r>
          </w:p>
        </w:tc>
      </w:tr>
      <w:tr w:rsidR="00F002FA" w:rsidRPr="00434009" w:rsidTr="000D6902">
        <w:tc>
          <w:tcPr>
            <w:tcW w:w="540" w:type="dxa"/>
            <w:vAlign w:val="center"/>
          </w:tcPr>
          <w:p w:rsidR="00F002FA" w:rsidRDefault="007E337B" w:rsidP="000D6902">
            <w:pPr>
              <w:pStyle w:val="Paragraphedeliste"/>
              <w:autoSpaceDE w:val="0"/>
              <w:autoSpaceDN w:val="0"/>
              <w:adjustRightInd w:val="0"/>
              <w:spacing w:before="120"/>
              <w:ind w:left="0"/>
              <w:contextualSpacing w:val="0"/>
              <w:jc w:val="center"/>
              <w:rPr>
                <w:rFonts w:cs="Arial"/>
                <w:sz w:val="20"/>
                <w:szCs w:val="22"/>
              </w:rPr>
            </w:pPr>
            <w:r>
              <w:rPr>
                <w:rFonts w:cs="Arial"/>
                <w:sz w:val="20"/>
                <w:szCs w:val="22"/>
              </w:rPr>
              <w:t>4</w:t>
            </w:r>
            <w:r w:rsidR="003B32C6">
              <w:rPr>
                <w:rFonts w:cs="Arial"/>
                <w:sz w:val="20"/>
                <w:szCs w:val="22"/>
              </w:rPr>
              <w:t>6</w:t>
            </w:r>
          </w:p>
        </w:tc>
        <w:tc>
          <w:tcPr>
            <w:tcW w:w="1260" w:type="dxa"/>
            <w:vAlign w:val="center"/>
          </w:tcPr>
          <w:p w:rsidR="00F002FA" w:rsidRPr="00120FEF" w:rsidRDefault="00F002FA" w:rsidP="000D6902">
            <w:pPr>
              <w:pStyle w:val="Paragraphedeliste"/>
              <w:autoSpaceDE w:val="0"/>
              <w:autoSpaceDN w:val="0"/>
              <w:adjustRightInd w:val="0"/>
              <w:spacing w:before="120"/>
              <w:ind w:left="0"/>
              <w:contextualSpacing w:val="0"/>
              <w:jc w:val="center"/>
              <w:rPr>
                <w:rFonts w:cs="Arial"/>
                <w:sz w:val="20"/>
                <w:szCs w:val="22"/>
              </w:rPr>
            </w:pPr>
          </w:p>
        </w:tc>
        <w:tc>
          <w:tcPr>
            <w:tcW w:w="6480" w:type="dxa"/>
          </w:tcPr>
          <w:p w:rsidR="00F002FA" w:rsidRPr="000A5846" w:rsidRDefault="00F002FA" w:rsidP="00CD561D">
            <w:pPr>
              <w:autoSpaceDE w:val="0"/>
              <w:autoSpaceDN w:val="0"/>
              <w:adjustRightInd w:val="0"/>
              <w:spacing w:before="120" w:after="120"/>
              <w:jc w:val="both"/>
              <w:rPr>
                <w:rFonts w:cs="Arial"/>
                <w:sz w:val="20"/>
                <w:szCs w:val="22"/>
              </w:rPr>
            </w:pPr>
            <w:r w:rsidRPr="000A5846">
              <w:rPr>
                <w:rFonts w:cs="Arial"/>
                <w:sz w:val="20"/>
                <w:szCs w:val="22"/>
              </w:rPr>
              <w:t>Le Parlement fédéral a adopté en juin 2012 un pré</w:t>
            </w:r>
            <w:r w:rsidR="00CD561D" w:rsidRPr="000A5846">
              <w:rPr>
                <w:rFonts w:cs="Arial"/>
                <w:sz w:val="20"/>
                <w:szCs w:val="22"/>
              </w:rPr>
              <w:t>ambule à la Loi sur les banques. Ce</w:t>
            </w:r>
            <w:r w:rsidRPr="000A5846">
              <w:rPr>
                <w:rFonts w:cs="Arial"/>
                <w:sz w:val="20"/>
                <w:szCs w:val="22"/>
              </w:rPr>
              <w:t xml:space="preserve"> préambule indique qu’il est souhaitable et dans l’intérêt national d’établir des normes nationales claires, complètes et exclusives applicables aux produits et services bancaires offerts par les banques.</w:t>
            </w:r>
          </w:p>
          <w:p w:rsidR="00F002FA" w:rsidRPr="00434009" w:rsidRDefault="00F002FA" w:rsidP="004047E9">
            <w:pPr>
              <w:pStyle w:val="Paragraphedeliste"/>
              <w:autoSpaceDE w:val="0"/>
              <w:autoSpaceDN w:val="0"/>
              <w:adjustRightInd w:val="0"/>
              <w:spacing w:before="120" w:after="120"/>
              <w:ind w:left="0"/>
              <w:contextualSpacing w:val="0"/>
              <w:rPr>
                <w:rFonts w:cs="Arial"/>
                <w:sz w:val="20"/>
                <w:szCs w:val="22"/>
              </w:rPr>
            </w:pPr>
            <w:r w:rsidRPr="000A5846">
              <w:rPr>
                <w:rFonts w:cs="Arial"/>
                <w:sz w:val="20"/>
                <w:szCs w:val="22"/>
              </w:rPr>
              <w:t xml:space="preserve">Afin de réaffirmer la compétence constitutionnelle du Québec relative aux contrats fondée sur la compétence exclusive du Québec en matière de propriété et de droit civil, un amendement semblable pourrait être </w:t>
            </w:r>
            <w:r w:rsidRPr="000A5846">
              <w:rPr>
                <w:rFonts w:cs="Arial"/>
                <w:sz w:val="20"/>
                <w:szCs w:val="22"/>
              </w:rPr>
              <w:lastRenderedPageBreak/>
              <w:t xml:space="preserve">adopté à la </w:t>
            </w:r>
            <w:r w:rsidR="004047E9" w:rsidRPr="000A5846">
              <w:rPr>
                <w:rFonts w:cs="Arial"/>
                <w:sz w:val="20"/>
                <w:szCs w:val="22"/>
              </w:rPr>
              <w:t>LPC,</w:t>
            </w:r>
            <w:r w:rsidRPr="000A5846">
              <w:rPr>
                <w:rFonts w:cs="Arial"/>
                <w:sz w:val="20"/>
                <w:szCs w:val="22"/>
              </w:rPr>
              <w:t xml:space="preserve"> en vue de faire contrepoids à la portée du préambule fédéral.</w:t>
            </w:r>
          </w:p>
        </w:tc>
        <w:tc>
          <w:tcPr>
            <w:tcW w:w="5760" w:type="dxa"/>
          </w:tcPr>
          <w:p w:rsidR="00F002FA" w:rsidRPr="003F6D72" w:rsidRDefault="004047E9" w:rsidP="00C76D28">
            <w:pPr>
              <w:pStyle w:val="Paragraphedeliste"/>
              <w:autoSpaceDE w:val="0"/>
              <w:autoSpaceDN w:val="0"/>
              <w:adjustRightInd w:val="0"/>
              <w:spacing w:before="120" w:after="120"/>
              <w:ind w:left="0"/>
              <w:contextualSpacing w:val="0"/>
              <w:rPr>
                <w:rFonts w:cs="Arial"/>
                <w:sz w:val="20"/>
                <w:szCs w:val="22"/>
                <w:u w:val="single"/>
              </w:rPr>
            </w:pPr>
            <w:r>
              <w:rPr>
                <w:rFonts w:cs="Arial"/>
                <w:sz w:val="20"/>
                <w:szCs w:val="22"/>
                <w:u w:val="single"/>
              </w:rPr>
              <w:lastRenderedPageBreak/>
              <w:t>Préambule sur la compétence du Québec</w:t>
            </w:r>
            <w:r w:rsidRPr="004047E9">
              <w:rPr>
                <w:rFonts w:cs="Arial"/>
                <w:sz w:val="20"/>
                <w:szCs w:val="22"/>
              </w:rPr>
              <w:t xml:space="preserve"> : réaffirmer la compétence du Québec en matière de contrats à la consommation dans </w:t>
            </w:r>
            <w:r w:rsidR="00C76D28">
              <w:rPr>
                <w:rFonts w:cs="Arial"/>
                <w:sz w:val="20"/>
                <w:szCs w:val="22"/>
              </w:rPr>
              <w:t xml:space="preserve">un </w:t>
            </w:r>
            <w:r w:rsidRPr="004047E9">
              <w:rPr>
                <w:rFonts w:cs="Arial"/>
                <w:sz w:val="20"/>
                <w:szCs w:val="22"/>
              </w:rPr>
              <w:t xml:space="preserve">préambule </w:t>
            </w:r>
            <w:r w:rsidR="00C76D28">
              <w:rPr>
                <w:rFonts w:cs="Arial"/>
                <w:sz w:val="20"/>
                <w:szCs w:val="22"/>
              </w:rPr>
              <w:t>qui serait ajouté</w:t>
            </w:r>
            <w:r w:rsidRPr="004047E9">
              <w:rPr>
                <w:rFonts w:cs="Arial"/>
                <w:sz w:val="20"/>
                <w:szCs w:val="22"/>
              </w:rPr>
              <w:t xml:space="preserve"> la LPC.</w:t>
            </w:r>
          </w:p>
        </w:tc>
        <w:tc>
          <w:tcPr>
            <w:tcW w:w="5490" w:type="dxa"/>
          </w:tcPr>
          <w:p w:rsidR="00F002FA" w:rsidRDefault="00F002FA" w:rsidP="00CF62DB">
            <w:pPr>
              <w:spacing w:before="120" w:after="120"/>
              <w:jc w:val="both"/>
              <w:rPr>
                <w:rFonts w:cs="Arial"/>
                <w:sz w:val="20"/>
                <w:szCs w:val="22"/>
                <w:u w:val="single"/>
              </w:rPr>
            </w:pPr>
          </w:p>
        </w:tc>
      </w:tr>
      <w:tr w:rsidR="00533583" w:rsidRPr="00434009" w:rsidTr="000D6902">
        <w:tc>
          <w:tcPr>
            <w:tcW w:w="540" w:type="dxa"/>
            <w:vAlign w:val="center"/>
          </w:tcPr>
          <w:p w:rsidR="00533583" w:rsidRDefault="00D1080A" w:rsidP="000D6902">
            <w:pPr>
              <w:pStyle w:val="Paragraphedeliste"/>
              <w:autoSpaceDE w:val="0"/>
              <w:autoSpaceDN w:val="0"/>
              <w:adjustRightInd w:val="0"/>
              <w:spacing w:before="120"/>
              <w:ind w:left="0"/>
              <w:contextualSpacing w:val="0"/>
              <w:jc w:val="center"/>
              <w:rPr>
                <w:rFonts w:cs="Arial"/>
                <w:sz w:val="20"/>
                <w:szCs w:val="22"/>
              </w:rPr>
            </w:pPr>
            <w:r>
              <w:rPr>
                <w:rFonts w:cs="Arial"/>
                <w:sz w:val="20"/>
                <w:szCs w:val="22"/>
              </w:rPr>
              <w:t>4</w:t>
            </w:r>
            <w:r w:rsidR="003B32C6">
              <w:rPr>
                <w:rFonts w:cs="Arial"/>
                <w:sz w:val="20"/>
                <w:szCs w:val="22"/>
              </w:rPr>
              <w:t>7</w:t>
            </w:r>
          </w:p>
        </w:tc>
        <w:tc>
          <w:tcPr>
            <w:tcW w:w="1260" w:type="dxa"/>
            <w:vAlign w:val="center"/>
          </w:tcPr>
          <w:p w:rsidR="00533583" w:rsidRPr="000A5846" w:rsidRDefault="00533583" w:rsidP="00533583">
            <w:pPr>
              <w:pStyle w:val="Paragraphedeliste"/>
              <w:autoSpaceDE w:val="0"/>
              <w:autoSpaceDN w:val="0"/>
              <w:adjustRightInd w:val="0"/>
              <w:spacing w:before="120"/>
              <w:ind w:left="0"/>
              <w:contextualSpacing w:val="0"/>
              <w:jc w:val="center"/>
              <w:rPr>
                <w:rFonts w:cs="Arial"/>
                <w:sz w:val="20"/>
                <w:szCs w:val="22"/>
              </w:rPr>
            </w:pPr>
            <w:r w:rsidRPr="000A5846">
              <w:rPr>
                <w:rFonts w:cs="Arial"/>
                <w:sz w:val="20"/>
                <w:szCs w:val="22"/>
              </w:rPr>
              <w:t>23 à 33</w:t>
            </w:r>
          </w:p>
          <w:p w:rsidR="00533583" w:rsidRPr="00120FEF" w:rsidRDefault="00533583" w:rsidP="00533583">
            <w:pPr>
              <w:pStyle w:val="Paragraphedeliste"/>
              <w:autoSpaceDE w:val="0"/>
              <w:autoSpaceDN w:val="0"/>
              <w:adjustRightInd w:val="0"/>
              <w:spacing w:before="120"/>
              <w:ind w:left="0"/>
              <w:contextualSpacing w:val="0"/>
              <w:jc w:val="center"/>
              <w:rPr>
                <w:rFonts w:cs="Arial"/>
                <w:sz w:val="20"/>
                <w:szCs w:val="22"/>
              </w:rPr>
            </w:pPr>
            <w:r w:rsidRPr="000A5846">
              <w:rPr>
                <w:rFonts w:cs="Arial"/>
                <w:sz w:val="20"/>
                <w:szCs w:val="22"/>
              </w:rPr>
              <w:t>LPC</w:t>
            </w:r>
          </w:p>
        </w:tc>
        <w:tc>
          <w:tcPr>
            <w:tcW w:w="6480" w:type="dxa"/>
          </w:tcPr>
          <w:p w:rsidR="0064353A" w:rsidRDefault="00533583" w:rsidP="00533583">
            <w:pPr>
              <w:autoSpaceDE w:val="0"/>
              <w:autoSpaceDN w:val="0"/>
              <w:adjustRightInd w:val="0"/>
              <w:spacing w:before="120" w:after="120"/>
              <w:jc w:val="both"/>
              <w:rPr>
                <w:rFonts w:cs="Arial"/>
                <w:sz w:val="20"/>
                <w:szCs w:val="22"/>
              </w:rPr>
            </w:pPr>
            <w:r w:rsidRPr="00533583">
              <w:rPr>
                <w:rFonts w:cs="Arial"/>
                <w:sz w:val="20"/>
                <w:szCs w:val="22"/>
              </w:rPr>
              <w:t xml:space="preserve">La LPC assujettit la formation de certains contrats au respect de certaines règles (ex : contrat rédigé au moins en double, exigence qu’il soit constaté sur un support papier et qu’il soit signé par les parties, remise d’un double du contrat au consommateur après la signature). </w:t>
            </w:r>
          </w:p>
          <w:p w:rsidR="00533583" w:rsidRDefault="00533583" w:rsidP="00533583">
            <w:pPr>
              <w:autoSpaceDE w:val="0"/>
              <w:autoSpaceDN w:val="0"/>
              <w:adjustRightInd w:val="0"/>
              <w:spacing w:before="120" w:after="120"/>
              <w:jc w:val="both"/>
              <w:rPr>
                <w:rFonts w:cs="Arial"/>
                <w:sz w:val="20"/>
                <w:szCs w:val="22"/>
              </w:rPr>
            </w:pPr>
            <w:r w:rsidRPr="00533583">
              <w:rPr>
                <w:rFonts w:cs="Arial"/>
                <w:sz w:val="20"/>
                <w:szCs w:val="22"/>
              </w:rPr>
              <w:t>Compte tenu de l’utilisation grandissante de supports électroniques pour effectuer des transactions, et ce, même lorsque la transaction se fait directement en magasin, se pose la question de la modernisation de ces règles de formation. Comment concilier la popularité grandissante des technologies de l’information à la fois chez les commerçants et les consommateurs et les objectifs de protection du consommateur qui sont poursuivis par le législateur en imposant de telles règles</w:t>
            </w:r>
            <w:r w:rsidR="00A74528">
              <w:rPr>
                <w:rFonts w:cs="Arial"/>
                <w:sz w:val="20"/>
                <w:szCs w:val="22"/>
              </w:rPr>
              <w:t xml:space="preserve"> ?</w:t>
            </w:r>
          </w:p>
          <w:p w:rsidR="00C86C8D" w:rsidRPr="00F002FA" w:rsidRDefault="00C86C8D" w:rsidP="00C86C8D">
            <w:pPr>
              <w:autoSpaceDE w:val="0"/>
              <w:autoSpaceDN w:val="0"/>
              <w:adjustRightInd w:val="0"/>
              <w:spacing w:before="120" w:after="120"/>
              <w:jc w:val="both"/>
              <w:rPr>
                <w:rFonts w:cs="Arial"/>
                <w:sz w:val="20"/>
                <w:szCs w:val="22"/>
              </w:rPr>
            </w:pPr>
            <w:r w:rsidRPr="00D1080A">
              <w:rPr>
                <w:rFonts w:cs="Arial"/>
                <w:sz w:val="20"/>
                <w:szCs w:val="22"/>
              </w:rPr>
              <w:t>Il est à noter que, sauf exception, lorsque le contrat est conclu à distance (ex : par Internet, au téléphone), ces règles de formation ne s’appliquent pas. La LPC exige alors</w:t>
            </w:r>
            <w:r w:rsidR="0064353A" w:rsidRPr="00CB16B9">
              <w:rPr>
                <w:rFonts w:cs="Arial"/>
                <w:sz w:val="20"/>
                <w:szCs w:val="22"/>
              </w:rPr>
              <w:t>, entre autres,</w:t>
            </w:r>
            <w:r w:rsidRPr="00CB16B9">
              <w:rPr>
                <w:rFonts w:cs="Arial"/>
                <w:sz w:val="20"/>
                <w:szCs w:val="22"/>
              </w:rPr>
              <w:t xml:space="preserve"> que certaines informations soient portées expressément à la connaissance du consommateur avant la conclusion du contrat et qu’un exemplaire du contrat</w:t>
            </w:r>
            <w:r w:rsidR="0064353A" w:rsidRPr="00CB16B9">
              <w:rPr>
                <w:rFonts w:cs="Arial"/>
                <w:sz w:val="20"/>
                <w:szCs w:val="22"/>
              </w:rPr>
              <w:t>,</w:t>
            </w:r>
            <w:r w:rsidRPr="00CB16B9">
              <w:rPr>
                <w:rFonts w:cs="Arial"/>
                <w:sz w:val="20"/>
                <w:szCs w:val="22"/>
              </w:rPr>
              <w:t xml:space="preserve"> devant contenir certaines informations</w:t>
            </w:r>
            <w:r w:rsidR="0064353A" w:rsidRPr="00CB16B9">
              <w:rPr>
                <w:rFonts w:cs="Arial"/>
                <w:sz w:val="20"/>
                <w:szCs w:val="22"/>
              </w:rPr>
              <w:t>, soi</w:t>
            </w:r>
            <w:r w:rsidRPr="00CB16B9">
              <w:rPr>
                <w:rFonts w:cs="Arial"/>
                <w:sz w:val="20"/>
                <w:szCs w:val="22"/>
              </w:rPr>
              <w:t>t transmis au consommateur dans un certain délai suivant sa conclusion.</w:t>
            </w:r>
          </w:p>
        </w:tc>
        <w:tc>
          <w:tcPr>
            <w:tcW w:w="5760" w:type="dxa"/>
          </w:tcPr>
          <w:p w:rsidR="00533583" w:rsidRDefault="00533583" w:rsidP="000D6902">
            <w:pPr>
              <w:pStyle w:val="Paragraphedeliste"/>
              <w:autoSpaceDE w:val="0"/>
              <w:autoSpaceDN w:val="0"/>
              <w:adjustRightInd w:val="0"/>
              <w:spacing w:before="120" w:after="120"/>
              <w:ind w:left="0"/>
              <w:contextualSpacing w:val="0"/>
              <w:rPr>
                <w:rFonts w:cs="Arial"/>
                <w:sz w:val="20"/>
                <w:szCs w:val="22"/>
                <w:u w:val="single"/>
              </w:rPr>
            </w:pPr>
            <w:r>
              <w:rPr>
                <w:rFonts w:cs="Arial"/>
                <w:sz w:val="20"/>
                <w:szCs w:val="22"/>
                <w:u w:val="single"/>
              </w:rPr>
              <w:t>Règles de formation de certains contrats</w:t>
            </w:r>
            <w:r w:rsidRPr="00595528">
              <w:rPr>
                <w:rFonts w:cs="Arial"/>
                <w:sz w:val="20"/>
                <w:szCs w:val="22"/>
              </w:rPr>
              <w:t> :</w:t>
            </w:r>
            <w:r w:rsidRPr="00DE3C1C">
              <w:rPr>
                <w:rFonts w:cs="Arial"/>
                <w:sz w:val="20"/>
                <w:szCs w:val="22"/>
              </w:rPr>
              <w:t xml:space="preserve"> permettre, à certaines conditions, que le contrat écrit puisse ne pas être constaté sur un support</w:t>
            </w:r>
            <w:r>
              <w:rPr>
                <w:rFonts w:cs="Arial"/>
                <w:sz w:val="20"/>
                <w:szCs w:val="22"/>
              </w:rPr>
              <w:t xml:space="preserve"> papier et que le consentement à un tel contrat puisse être donné autrement qu’en y apposant sa signature.</w:t>
            </w:r>
          </w:p>
        </w:tc>
        <w:tc>
          <w:tcPr>
            <w:tcW w:w="5490" w:type="dxa"/>
          </w:tcPr>
          <w:p w:rsidR="00533583" w:rsidRDefault="00533583" w:rsidP="00CF62DB">
            <w:pPr>
              <w:spacing w:before="120" w:after="120"/>
              <w:jc w:val="both"/>
              <w:rPr>
                <w:rFonts w:cs="Arial"/>
                <w:sz w:val="20"/>
                <w:szCs w:val="20"/>
                <w:u w:val="single"/>
              </w:rPr>
            </w:pPr>
          </w:p>
        </w:tc>
      </w:tr>
      <w:tr w:rsidR="00DE42E6" w:rsidRPr="00434009" w:rsidTr="000D6902">
        <w:tc>
          <w:tcPr>
            <w:tcW w:w="540" w:type="dxa"/>
            <w:vAlign w:val="center"/>
          </w:tcPr>
          <w:p w:rsidR="00DE42E6" w:rsidRDefault="00D1080A" w:rsidP="000D6902">
            <w:pPr>
              <w:pStyle w:val="Paragraphedeliste"/>
              <w:autoSpaceDE w:val="0"/>
              <w:autoSpaceDN w:val="0"/>
              <w:adjustRightInd w:val="0"/>
              <w:spacing w:before="120"/>
              <w:ind w:left="0"/>
              <w:contextualSpacing w:val="0"/>
              <w:jc w:val="center"/>
              <w:rPr>
                <w:rFonts w:cs="Arial"/>
                <w:sz w:val="20"/>
                <w:szCs w:val="22"/>
              </w:rPr>
            </w:pPr>
            <w:r>
              <w:rPr>
                <w:rFonts w:cs="Arial"/>
                <w:sz w:val="20"/>
                <w:szCs w:val="22"/>
              </w:rPr>
              <w:t>4</w:t>
            </w:r>
            <w:r w:rsidR="003B32C6">
              <w:rPr>
                <w:rFonts w:cs="Arial"/>
                <w:sz w:val="20"/>
                <w:szCs w:val="22"/>
              </w:rPr>
              <w:t>8</w:t>
            </w:r>
          </w:p>
        </w:tc>
        <w:tc>
          <w:tcPr>
            <w:tcW w:w="1260" w:type="dxa"/>
            <w:vAlign w:val="center"/>
          </w:tcPr>
          <w:p w:rsidR="00DE42E6" w:rsidRPr="00120FEF" w:rsidRDefault="00212195" w:rsidP="000D6902">
            <w:pPr>
              <w:pStyle w:val="Paragraphedeliste"/>
              <w:autoSpaceDE w:val="0"/>
              <w:autoSpaceDN w:val="0"/>
              <w:adjustRightInd w:val="0"/>
              <w:spacing w:before="120"/>
              <w:ind w:left="0"/>
              <w:contextualSpacing w:val="0"/>
              <w:jc w:val="center"/>
              <w:rPr>
                <w:rFonts w:cs="Arial"/>
                <w:sz w:val="20"/>
                <w:szCs w:val="22"/>
              </w:rPr>
            </w:pPr>
            <w:r w:rsidRPr="000A5846">
              <w:rPr>
                <w:rFonts w:cs="Arial"/>
                <w:sz w:val="20"/>
                <w:szCs w:val="22"/>
              </w:rPr>
              <w:t>LPC</w:t>
            </w:r>
          </w:p>
        </w:tc>
        <w:tc>
          <w:tcPr>
            <w:tcW w:w="6480" w:type="dxa"/>
          </w:tcPr>
          <w:p w:rsidR="00DE42E6" w:rsidRPr="00F002FA" w:rsidRDefault="00DE42E6" w:rsidP="00CD561D">
            <w:pPr>
              <w:autoSpaceDE w:val="0"/>
              <w:autoSpaceDN w:val="0"/>
              <w:adjustRightInd w:val="0"/>
              <w:spacing w:before="120" w:after="120"/>
              <w:jc w:val="both"/>
              <w:rPr>
                <w:rFonts w:cs="Arial"/>
                <w:sz w:val="20"/>
                <w:szCs w:val="22"/>
              </w:rPr>
            </w:pPr>
            <w:r w:rsidRPr="00DE42E6">
              <w:rPr>
                <w:rFonts w:cs="Arial"/>
                <w:sz w:val="20"/>
                <w:szCs w:val="22"/>
              </w:rPr>
              <w:t>La durée de vie de factures fournies par certains commerçants peut être considérablement réduite par l'exposition à une source de chaleur. En effet, certains de ces documents s'effacent au contact de la chaleur, empêchant ainsi au consommateur de faire valoir certains droits.</w:t>
            </w:r>
          </w:p>
        </w:tc>
        <w:tc>
          <w:tcPr>
            <w:tcW w:w="5760" w:type="dxa"/>
          </w:tcPr>
          <w:p w:rsidR="00DE42E6" w:rsidRDefault="00082EFD" w:rsidP="00DE42E6">
            <w:pPr>
              <w:autoSpaceDE w:val="0"/>
              <w:autoSpaceDN w:val="0"/>
              <w:adjustRightInd w:val="0"/>
              <w:spacing w:before="120" w:after="120"/>
              <w:rPr>
                <w:rFonts w:cs="Arial"/>
                <w:sz w:val="20"/>
                <w:szCs w:val="22"/>
                <w:u w:val="single"/>
              </w:rPr>
            </w:pPr>
            <w:bookmarkStart w:id="9" w:name="_Toc371682837"/>
            <w:r w:rsidRPr="00082EFD">
              <w:rPr>
                <w:rFonts w:cs="Arial"/>
                <w:sz w:val="20"/>
                <w:szCs w:val="22"/>
                <w:u w:val="single"/>
              </w:rPr>
              <w:t>Facture – papier thermosensible</w:t>
            </w:r>
            <w:bookmarkEnd w:id="9"/>
            <w:r w:rsidR="00DE42E6" w:rsidRPr="00DE42E6">
              <w:rPr>
                <w:rFonts w:cs="Arial"/>
                <w:sz w:val="20"/>
                <w:szCs w:val="22"/>
              </w:rPr>
              <w:t xml:space="preserve">: </w:t>
            </w:r>
            <w:r w:rsidR="00DE42E6">
              <w:rPr>
                <w:rFonts w:cs="Arial"/>
                <w:sz w:val="20"/>
                <w:szCs w:val="22"/>
              </w:rPr>
              <w:t>p</w:t>
            </w:r>
            <w:r w:rsidR="00DE42E6" w:rsidRPr="00DE42E6">
              <w:rPr>
                <w:rFonts w:cs="Arial"/>
                <w:sz w:val="20"/>
                <w:szCs w:val="22"/>
              </w:rPr>
              <w:t xml:space="preserve">révoir une durée de vie minimale du papier avec lequel sont </w:t>
            </w:r>
            <w:proofErr w:type="gramStart"/>
            <w:r w:rsidR="00DE42E6" w:rsidRPr="00DE42E6">
              <w:rPr>
                <w:rFonts w:cs="Arial"/>
                <w:sz w:val="20"/>
                <w:szCs w:val="22"/>
              </w:rPr>
              <w:t>confectionnées</w:t>
            </w:r>
            <w:proofErr w:type="gramEnd"/>
            <w:r w:rsidR="00DE42E6" w:rsidRPr="00DE42E6">
              <w:rPr>
                <w:rFonts w:cs="Arial"/>
                <w:sz w:val="20"/>
                <w:szCs w:val="22"/>
              </w:rPr>
              <w:t xml:space="preserve"> les factures</w:t>
            </w:r>
            <w:r w:rsidR="00DE42E6">
              <w:rPr>
                <w:rFonts w:cs="Arial"/>
                <w:sz w:val="20"/>
                <w:szCs w:val="22"/>
              </w:rPr>
              <w:t>.</w:t>
            </w:r>
          </w:p>
        </w:tc>
        <w:tc>
          <w:tcPr>
            <w:tcW w:w="5490" w:type="dxa"/>
          </w:tcPr>
          <w:p w:rsidR="00DE42E6" w:rsidRDefault="00DE42E6" w:rsidP="00CF62DB">
            <w:pPr>
              <w:spacing w:before="120" w:after="120"/>
              <w:jc w:val="both"/>
              <w:rPr>
                <w:rFonts w:cs="Arial"/>
                <w:sz w:val="20"/>
                <w:szCs w:val="20"/>
                <w:u w:val="single"/>
              </w:rPr>
            </w:pPr>
          </w:p>
        </w:tc>
      </w:tr>
      <w:tr w:rsidR="000D6902" w:rsidRPr="00434009" w:rsidTr="000D6902">
        <w:tc>
          <w:tcPr>
            <w:tcW w:w="540" w:type="dxa"/>
            <w:vAlign w:val="center"/>
          </w:tcPr>
          <w:p w:rsidR="000D6902" w:rsidRPr="00120FEF" w:rsidRDefault="00D1080A" w:rsidP="000D6902">
            <w:pPr>
              <w:pStyle w:val="Paragraphedeliste"/>
              <w:autoSpaceDE w:val="0"/>
              <w:autoSpaceDN w:val="0"/>
              <w:adjustRightInd w:val="0"/>
              <w:spacing w:before="120"/>
              <w:ind w:left="0"/>
              <w:contextualSpacing w:val="0"/>
              <w:jc w:val="center"/>
              <w:rPr>
                <w:rFonts w:cs="Arial"/>
                <w:sz w:val="20"/>
                <w:szCs w:val="22"/>
              </w:rPr>
            </w:pPr>
            <w:r>
              <w:rPr>
                <w:rFonts w:cs="Arial"/>
                <w:sz w:val="20"/>
                <w:szCs w:val="22"/>
              </w:rPr>
              <w:t>4</w:t>
            </w:r>
            <w:r w:rsidR="007E337B">
              <w:rPr>
                <w:rFonts w:cs="Arial"/>
                <w:sz w:val="20"/>
                <w:szCs w:val="22"/>
              </w:rPr>
              <w:t>9</w:t>
            </w:r>
          </w:p>
        </w:tc>
        <w:tc>
          <w:tcPr>
            <w:tcW w:w="1260" w:type="dxa"/>
            <w:vAlign w:val="center"/>
          </w:tcPr>
          <w:p w:rsidR="000D6902" w:rsidRPr="00120FEF" w:rsidRDefault="000D6902" w:rsidP="000D6902">
            <w:pPr>
              <w:pStyle w:val="Paragraphedeliste"/>
              <w:autoSpaceDE w:val="0"/>
              <w:autoSpaceDN w:val="0"/>
              <w:adjustRightInd w:val="0"/>
              <w:spacing w:before="120"/>
              <w:ind w:left="0"/>
              <w:contextualSpacing w:val="0"/>
              <w:jc w:val="center"/>
              <w:rPr>
                <w:rFonts w:cs="Arial"/>
                <w:sz w:val="20"/>
                <w:szCs w:val="22"/>
              </w:rPr>
            </w:pPr>
            <w:r w:rsidRPr="00120FEF">
              <w:rPr>
                <w:rFonts w:cs="Arial"/>
                <w:sz w:val="20"/>
                <w:szCs w:val="22"/>
              </w:rPr>
              <w:t>282 LPC</w:t>
            </w:r>
          </w:p>
          <w:p w:rsidR="000D6902" w:rsidRPr="00120FEF" w:rsidRDefault="000D6902" w:rsidP="000D6902">
            <w:pPr>
              <w:pStyle w:val="Paragraphedeliste"/>
              <w:autoSpaceDE w:val="0"/>
              <w:autoSpaceDN w:val="0"/>
              <w:adjustRightInd w:val="0"/>
              <w:ind w:left="0"/>
              <w:contextualSpacing w:val="0"/>
              <w:jc w:val="center"/>
              <w:rPr>
                <w:rFonts w:cs="Arial"/>
                <w:sz w:val="20"/>
                <w:szCs w:val="22"/>
              </w:rPr>
            </w:pPr>
          </w:p>
        </w:tc>
        <w:tc>
          <w:tcPr>
            <w:tcW w:w="6480" w:type="dxa"/>
          </w:tcPr>
          <w:p w:rsidR="000D6902" w:rsidRPr="00434009" w:rsidRDefault="000D6902" w:rsidP="000D6902">
            <w:pPr>
              <w:pStyle w:val="Paragraphedeliste"/>
              <w:autoSpaceDE w:val="0"/>
              <w:autoSpaceDN w:val="0"/>
              <w:adjustRightInd w:val="0"/>
              <w:spacing w:before="120" w:after="120"/>
              <w:ind w:left="0"/>
              <w:contextualSpacing w:val="0"/>
              <w:rPr>
                <w:rFonts w:cs="Arial"/>
                <w:sz w:val="20"/>
                <w:szCs w:val="22"/>
              </w:rPr>
            </w:pPr>
            <w:r w:rsidRPr="00434009">
              <w:rPr>
                <w:rFonts w:cs="Arial"/>
                <w:sz w:val="20"/>
                <w:szCs w:val="22"/>
              </w:rPr>
              <w:t xml:space="preserve">La </w:t>
            </w:r>
            <w:r>
              <w:rPr>
                <w:rFonts w:cs="Arial"/>
                <w:sz w:val="20"/>
                <w:szCs w:val="22"/>
              </w:rPr>
              <w:t>LPC</w:t>
            </w:r>
            <w:r w:rsidRPr="00434009">
              <w:rPr>
                <w:rFonts w:cs="Arial"/>
                <w:sz w:val="20"/>
                <w:szCs w:val="22"/>
              </w:rPr>
              <w:t xml:space="preserve"> prévoit que lorsqu’une personne morale commet une infraction, le représentant de cette personne morale qui avait connaissance de l’infraction est réputé être partie à l’infraction et est passible de la peine prévue à la loi</w:t>
            </w:r>
            <w:r>
              <w:rPr>
                <w:rFonts w:cs="Arial"/>
                <w:sz w:val="20"/>
                <w:szCs w:val="22"/>
              </w:rPr>
              <w:t>,</w:t>
            </w:r>
            <w:r w:rsidRPr="00434009">
              <w:rPr>
                <w:rFonts w:cs="Arial"/>
                <w:sz w:val="20"/>
                <w:szCs w:val="22"/>
              </w:rPr>
              <w:t xml:space="preserve"> à moins qu’il n’établisse à la satisfaction du tribunal qu’il n’a pas acquiescé à la commission de cette infraction. Toutefois, cette </w:t>
            </w:r>
            <w:r w:rsidRPr="00434009">
              <w:rPr>
                <w:rFonts w:cs="Arial"/>
                <w:sz w:val="20"/>
                <w:szCs w:val="22"/>
              </w:rPr>
              <w:lastRenderedPageBreak/>
              <w:t xml:space="preserve">présomption ne s’applique pas au représentant d’un commerçant qui n’est pas constitué en personne morale. </w:t>
            </w:r>
          </w:p>
        </w:tc>
        <w:tc>
          <w:tcPr>
            <w:tcW w:w="5760" w:type="dxa"/>
          </w:tcPr>
          <w:p w:rsidR="000D6902" w:rsidRPr="00434009" w:rsidRDefault="000D6902" w:rsidP="000D6902">
            <w:pPr>
              <w:pStyle w:val="Paragraphedeliste"/>
              <w:autoSpaceDE w:val="0"/>
              <w:autoSpaceDN w:val="0"/>
              <w:adjustRightInd w:val="0"/>
              <w:spacing w:before="120" w:after="120"/>
              <w:ind w:left="0"/>
              <w:contextualSpacing w:val="0"/>
              <w:rPr>
                <w:rFonts w:cs="Arial"/>
                <w:color w:val="000000"/>
                <w:sz w:val="20"/>
                <w:szCs w:val="22"/>
              </w:rPr>
            </w:pPr>
            <w:r w:rsidRPr="003F6D72">
              <w:rPr>
                <w:rFonts w:cs="Arial"/>
                <w:sz w:val="20"/>
                <w:szCs w:val="22"/>
                <w:u w:val="single"/>
              </w:rPr>
              <w:lastRenderedPageBreak/>
              <w:t>Représentant partie à l’infraction</w:t>
            </w:r>
            <w:r>
              <w:rPr>
                <w:rFonts w:cs="Arial"/>
                <w:sz w:val="20"/>
                <w:szCs w:val="22"/>
              </w:rPr>
              <w:t xml:space="preserve"> : </w:t>
            </w:r>
            <w:r w:rsidR="00F002FA">
              <w:rPr>
                <w:rFonts w:cs="Arial"/>
                <w:sz w:val="20"/>
                <w:szCs w:val="22"/>
              </w:rPr>
              <w:t>é</w:t>
            </w:r>
            <w:r w:rsidRPr="00434009">
              <w:rPr>
                <w:rFonts w:cs="Arial"/>
                <w:sz w:val="20"/>
                <w:szCs w:val="22"/>
              </w:rPr>
              <w:t>largissement de la portée de la présomption quant à la commission de l’infraction pour qu’elle s’applique au représentant d’une personne, que celle-ci soit constituée en personne morale ou non.</w:t>
            </w:r>
          </w:p>
        </w:tc>
        <w:tc>
          <w:tcPr>
            <w:tcW w:w="5490" w:type="dxa"/>
          </w:tcPr>
          <w:p w:rsidR="000D6902" w:rsidRPr="003F6D72" w:rsidRDefault="000D6902" w:rsidP="00CF62DB">
            <w:pPr>
              <w:pStyle w:val="Paragraphedeliste"/>
              <w:autoSpaceDE w:val="0"/>
              <w:autoSpaceDN w:val="0"/>
              <w:adjustRightInd w:val="0"/>
              <w:spacing w:before="120" w:after="120"/>
              <w:ind w:left="0"/>
              <w:contextualSpacing w:val="0"/>
              <w:rPr>
                <w:rFonts w:cs="Arial"/>
                <w:sz w:val="20"/>
                <w:szCs w:val="22"/>
                <w:u w:val="single"/>
              </w:rPr>
            </w:pPr>
          </w:p>
        </w:tc>
      </w:tr>
      <w:tr w:rsidR="006D1CEB" w:rsidRPr="00434009" w:rsidTr="000D6902">
        <w:tc>
          <w:tcPr>
            <w:tcW w:w="540" w:type="dxa"/>
            <w:vAlign w:val="center"/>
          </w:tcPr>
          <w:p w:rsidR="006D1CEB" w:rsidRDefault="007E337B" w:rsidP="000D6902">
            <w:pPr>
              <w:pStyle w:val="Paragraphedeliste"/>
              <w:autoSpaceDE w:val="0"/>
              <w:autoSpaceDN w:val="0"/>
              <w:adjustRightInd w:val="0"/>
              <w:spacing w:before="120"/>
              <w:ind w:left="0"/>
              <w:contextualSpacing w:val="0"/>
              <w:jc w:val="center"/>
              <w:rPr>
                <w:rFonts w:cs="Arial"/>
                <w:sz w:val="20"/>
                <w:szCs w:val="22"/>
              </w:rPr>
            </w:pPr>
            <w:r>
              <w:rPr>
                <w:rFonts w:cs="Arial"/>
                <w:sz w:val="20"/>
                <w:szCs w:val="22"/>
              </w:rPr>
              <w:t>50</w:t>
            </w:r>
          </w:p>
        </w:tc>
        <w:tc>
          <w:tcPr>
            <w:tcW w:w="1260" w:type="dxa"/>
            <w:vAlign w:val="center"/>
          </w:tcPr>
          <w:p w:rsidR="006D1CEB" w:rsidRDefault="00F002FA" w:rsidP="000D6902">
            <w:pPr>
              <w:pStyle w:val="Paragraphedeliste"/>
              <w:autoSpaceDE w:val="0"/>
              <w:autoSpaceDN w:val="0"/>
              <w:adjustRightInd w:val="0"/>
              <w:spacing w:before="120"/>
              <w:ind w:left="0"/>
              <w:contextualSpacing w:val="0"/>
              <w:jc w:val="center"/>
              <w:rPr>
                <w:rFonts w:cs="Arial"/>
                <w:sz w:val="20"/>
                <w:szCs w:val="22"/>
              </w:rPr>
            </w:pPr>
            <w:r w:rsidRPr="000A5846">
              <w:rPr>
                <w:rFonts w:cs="Arial"/>
                <w:sz w:val="20"/>
                <w:szCs w:val="22"/>
              </w:rPr>
              <w:t>31X</w:t>
            </w:r>
          </w:p>
          <w:p w:rsidR="00F002FA" w:rsidRPr="00120FEF" w:rsidRDefault="00F002FA" w:rsidP="000D6902">
            <w:pPr>
              <w:pStyle w:val="Paragraphedeliste"/>
              <w:autoSpaceDE w:val="0"/>
              <w:autoSpaceDN w:val="0"/>
              <w:adjustRightInd w:val="0"/>
              <w:spacing w:before="120"/>
              <w:ind w:left="0"/>
              <w:contextualSpacing w:val="0"/>
              <w:jc w:val="center"/>
              <w:rPr>
                <w:rFonts w:cs="Arial"/>
                <w:sz w:val="20"/>
                <w:szCs w:val="22"/>
              </w:rPr>
            </w:pPr>
            <w:r>
              <w:rPr>
                <w:rFonts w:cs="Arial"/>
                <w:sz w:val="20"/>
                <w:szCs w:val="22"/>
              </w:rPr>
              <w:t>LPC</w:t>
            </w:r>
          </w:p>
        </w:tc>
        <w:tc>
          <w:tcPr>
            <w:tcW w:w="6480" w:type="dxa"/>
          </w:tcPr>
          <w:p w:rsidR="00076481" w:rsidRPr="00C47447" w:rsidRDefault="00076481" w:rsidP="00076481">
            <w:pPr>
              <w:autoSpaceDE w:val="0"/>
              <w:autoSpaceDN w:val="0"/>
              <w:spacing w:before="120" w:after="120" w:line="252" w:lineRule="auto"/>
              <w:jc w:val="both"/>
              <w:rPr>
                <w:rFonts w:cs="Arial"/>
                <w:sz w:val="20"/>
                <w:szCs w:val="20"/>
              </w:rPr>
            </w:pPr>
            <w:r>
              <w:rPr>
                <w:rFonts w:cs="Arial"/>
                <w:sz w:val="20"/>
                <w:szCs w:val="20"/>
              </w:rPr>
              <w:t>Au Canada,</w:t>
            </w:r>
            <w:r w:rsidRPr="00C47447">
              <w:rPr>
                <w:rFonts w:cs="Arial"/>
                <w:sz w:val="20"/>
                <w:szCs w:val="20"/>
              </w:rPr>
              <w:t xml:space="preserve"> plusieurs </w:t>
            </w:r>
            <w:r>
              <w:rPr>
                <w:rFonts w:cs="Arial"/>
                <w:sz w:val="20"/>
                <w:szCs w:val="20"/>
              </w:rPr>
              <w:t xml:space="preserve">lois provinciales et fédérales prévoient que certains commerçants </w:t>
            </w:r>
            <w:r w:rsidRPr="00C47447">
              <w:rPr>
                <w:rFonts w:cs="Arial"/>
                <w:sz w:val="20"/>
                <w:szCs w:val="20"/>
              </w:rPr>
              <w:t xml:space="preserve">peuvent se voir imposer des sanctions pécuniaires administratives. Il pourrait </w:t>
            </w:r>
            <w:r>
              <w:rPr>
                <w:rFonts w:cs="Arial"/>
                <w:sz w:val="20"/>
                <w:szCs w:val="20"/>
              </w:rPr>
              <w:t xml:space="preserve">donc </w:t>
            </w:r>
            <w:r w:rsidRPr="00C47447">
              <w:rPr>
                <w:rFonts w:cs="Arial"/>
                <w:sz w:val="20"/>
                <w:szCs w:val="20"/>
              </w:rPr>
              <w:t xml:space="preserve">être prévu que le président de l’Office ait le pouvoir d’imposer des sanctions pécuniaires administratives </w:t>
            </w:r>
            <w:r>
              <w:rPr>
                <w:rFonts w:cs="Arial"/>
                <w:sz w:val="20"/>
                <w:szCs w:val="20"/>
              </w:rPr>
              <w:t>pour certains manquements afin d’améliorer la conformité des entreprises aux lois et règlements</w:t>
            </w:r>
            <w:r w:rsidRPr="00C47447">
              <w:rPr>
                <w:rFonts w:cs="Arial"/>
                <w:sz w:val="20"/>
                <w:szCs w:val="20"/>
              </w:rPr>
              <w:t xml:space="preserve">. </w:t>
            </w:r>
          </w:p>
          <w:p w:rsidR="006D1CEB" w:rsidRPr="00434009" w:rsidRDefault="00076481" w:rsidP="00076481">
            <w:pPr>
              <w:pStyle w:val="Paragraphedeliste"/>
              <w:autoSpaceDE w:val="0"/>
              <w:autoSpaceDN w:val="0"/>
              <w:adjustRightInd w:val="0"/>
              <w:spacing w:before="120" w:after="120"/>
              <w:ind w:left="0"/>
              <w:contextualSpacing w:val="0"/>
              <w:rPr>
                <w:rFonts w:cs="Arial"/>
                <w:sz w:val="20"/>
                <w:szCs w:val="22"/>
              </w:rPr>
            </w:pPr>
            <w:r w:rsidRPr="00C47447">
              <w:rPr>
                <w:sz w:val="20"/>
              </w:rPr>
              <w:t xml:space="preserve">Cette mesure </w:t>
            </w:r>
            <w:r>
              <w:rPr>
                <w:sz w:val="20"/>
              </w:rPr>
              <w:t>aurait un objectif de dissuasion et permettrait</w:t>
            </w:r>
            <w:r w:rsidRPr="00C47447">
              <w:rPr>
                <w:sz w:val="20"/>
              </w:rPr>
              <w:t xml:space="preserve"> </w:t>
            </w:r>
            <w:r>
              <w:rPr>
                <w:sz w:val="20"/>
              </w:rPr>
              <w:t xml:space="preserve">d’offrir </w:t>
            </w:r>
            <w:r w:rsidRPr="00C47447">
              <w:rPr>
                <w:sz w:val="20"/>
              </w:rPr>
              <w:t>une gradation dans les sanctions imposées</w:t>
            </w:r>
            <w:r>
              <w:rPr>
                <w:sz w:val="20"/>
              </w:rPr>
              <w:t>, en plus d’offrir un plus grand éventail d’outils pour atteindre la conformité des administrés aux lois dont l’Office doit assurer la surveillance</w:t>
            </w:r>
            <w:r w:rsidR="00F97C0B">
              <w:rPr>
                <w:sz w:val="20"/>
              </w:rPr>
              <w:t>.</w:t>
            </w:r>
          </w:p>
        </w:tc>
        <w:tc>
          <w:tcPr>
            <w:tcW w:w="5760" w:type="dxa"/>
          </w:tcPr>
          <w:p w:rsidR="00076481" w:rsidRPr="00C47447" w:rsidRDefault="00076481" w:rsidP="00076481">
            <w:pPr>
              <w:autoSpaceDE w:val="0"/>
              <w:autoSpaceDN w:val="0"/>
              <w:spacing w:before="120" w:after="120" w:line="252" w:lineRule="auto"/>
              <w:jc w:val="both"/>
              <w:rPr>
                <w:rFonts w:cs="Arial"/>
                <w:sz w:val="20"/>
                <w:szCs w:val="20"/>
              </w:rPr>
            </w:pPr>
            <w:r w:rsidRPr="00076481">
              <w:rPr>
                <w:rFonts w:cs="Arial"/>
                <w:sz w:val="20"/>
                <w:szCs w:val="20"/>
                <w:u w:val="single"/>
              </w:rPr>
              <w:t>Sanctions pécuniaires administratives</w:t>
            </w:r>
            <w:r w:rsidRPr="00076481">
              <w:rPr>
                <w:rFonts w:cs="Arial"/>
                <w:sz w:val="20"/>
                <w:szCs w:val="20"/>
              </w:rPr>
              <w:t xml:space="preserve"> :</w:t>
            </w:r>
            <w:r w:rsidRPr="00C47447">
              <w:rPr>
                <w:rFonts w:cs="Arial"/>
                <w:sz w:val="20"/>
                <w:szCs w:val="20"/>
              </w:rPr>
              <w:t xml:space="preserve"> introduire </w:t>
            </w:r>
            <w:r>
              <w:rPr>
                <w:rFonts w:cs="Arial"/>
                <w:sz w:val="20"/>
                <w:szCs w:val="20"/>
              </w:rPr>
              <w:t>un régime de</w:t>
            </w:r>
            <w:r w:rsidRPr="00C47447">
              <w:rPr>
                <w:rFonts w:cs="Arial"/>
                <w:sz w:val="20"/>
                <w:szCs w:val="20"/>
              </w:rPr>
              <w:t xml:space="preserve"> sanctions </w:t>
            </w:r>
            <w:r w:rsidR="00F97C0B" w:rsidRPr="00C47447">
              <w:rPr>
                <w:rFonts w:cs="Arial"/>
                <w:sz w:val="20"/>
                <w:szCs w:val="20"/>
              </w:rPr>
              <w:t xml:space="preserve">pécuniaires </w:t>
            </w:r>
            <w:r w:rsidRPr="00C47447">
              <w:rPr>
                <w:rFonts w:cs="Arial"/>
                <w:sz w:val="20"/>
                <w:szCs w:val="20"/>
              </w:rPr>
              <w:t xml:space="preserve">administratives afin d’éviter le recours </w:t>
            </w:r>
            <w:r>
              <w:rPr>
                <w:rFonts w:cs="Arial"/>
                <w:sz w:val="20"/>
                <w:szCs w:val="20"/>
              </w:rPr>
              <w:t xml:space="preserve">unique et </w:t>
            </w:r>
            <w:r w:rsidRPr="00C47447">
              <w:rPr>
                <w:rFonts w:cs="Arial"/>
                <w:sz w:val="20"/>
                <w:szCs w:val="20"/>
              </w:rPr>
              <w:t>systématique aux tribunaux judiciaires et d’agir de façon préventive et rapide.</w:t>
            </w:r>
          </w:p>
          <w:p w:rsidR="006D1CEB" w:rsidRPr="003F6D72" w:rsidRDefault="00076481" w:rsidP="00F97C0B">
            <w:pPr>
              <w:pStyle w:val="Paragraphedeliste"/>
              <w:autoSpaceDE w:val="0"/>
              <w:autoSpaceDN w:val="0"/>
              <w:adjustRightInd w:val="0"/>
              <w:spacing w:before="120" w:after="120"/>
              <w:ind w:left="0"/>
              <w:contextualSpacing w:val="0"/>
              <w:rPr>
                <w:rFonts w:cs="Arial"/>
                <w:sz w:val="20"/>
                <w:szCs w:val="22"/>
                <w:u w:val="single"/>
              </w:rPr>
            </w:pPr>
            <w:r w:rsidRPr="00C47447">
              <w:rPr>
                <w:sz w:val="20"/>
              </w:rPr>
              <w:t xml:space="preserve">Le non-paiement de la sanction </w:t>
            </w:r>
            <w:r w:rsidR="00F97C0B" w:rsidRPr="00C47447">
              <w:rPr>
                <w:sz w:val="20"/>
              </w:rPr>
              <w:t xml:space="preserve">pécuniaire administrative </w:t>
            </w:r>
            <w:r w:rsidRPr="00C47447">
              <w:rPr>
                <w:sz w:val="20"/>
              </w:rPr>
              <w:t xml:space="preserve">par le commerçant pourrait être un motif </w:t>
            </w:r>
            <w:r>
              <w:rPr>
                <w:sz w:val="20"/>
              </w:rPr>
              <w:t xml:space="preserve">de suspension, </w:t>
            </w:r>
            <w:r w:rsidRPr="00C47447">
              <w:rPr>
                <w:sz w:val="20"/>
              </w:rPr>
              <w:t xml:space="preserve">d'annulation </w:t>
            </w:r>
            <w:r>
              <w:rPr>
                <w:sz w:val="20"/>
              </w:rPr>
              <w:t xml:space="preserve">ou de </w:t>
            </w:r>
            <w:r w:rsidR="00F97C0B">
              <w:rPr>
                <w:sz w:val="20"/>
              </w:rPr>
              <w:t>non renouvellement d’un permis.</w:t>
            </w:r>
          </w:p>
        </w:tc>
        <w:tc>
          <w:tcPr>
            <w:tcW w:w="5490" w:type="dxa"/>
          </w:tcPr>
          <w:p w:rsidR="006D1CEB" w:rsidRPr="00CF10E1" w:rsidRDefault="006D1CEB" w:rsidP="00CF10E1">
            <w:pPr>
              <w:rPr>
                <w:rFonts w:cs="Arial"/>
                <w:sz w:val="20"/>
                <w:szCs w:val="22"/>
              </w:rPr>
            </w:pPr>
          </w:p>
        </w:tc>
      </w:tr>
      <w:tr w:rsidR="00CF10E1" w:rsidRPr="00434009" w:rsidTr="000D6902">
        <w:tc>
          <w:tcPr>
            <w:tcW w:w="540" w:type="dxa"/>
            <w:vAlign w:val="center"/>
          </w:tcPr>
          <w:p w:rsidR="00CF10E1" w:rsidRDefault="007E337B" w:rsidP="000D6902">
            <w:pPr>
              <w:pStyle w:val="Paragraphedeliste"/>
              <w:autoSpaceDE w:val="0"/>
              <w:autoSpaceDN w:val="0"/>
              <w:adjustRightInd w:val="0"/>
              <w:spacing w:before="120"/>
              <w:ind w:left="0"/>
              <w:contextualSpacing w:val="0"/>
              <w:jc w:val="center"/>
              <w:rPr>
                <w:rFonts w:cs="Arial"/>
                <w:sz w:val="20"/>
                <w:szCs w:val="22"/>
              </w:rPr>
            </w:pPr>
            <w:r>
              <w:rPr>
                <w:rFonts w:cs="Arial"/>
                <w:sz w:val="20"/>
                <w:szCs w:val="22"/>
              </w:rPr>
              <w:t>51</w:t>
            </w:r>
          </w:p>
        </w:tc>
        <w:tc>
          <w:tcPr>
            <w:tcW w:w="1260" w:type="dxa"/>
            <w:vAlign w:val="center"/>
          </w:tcPr>
          <w:p w:rsidR="00CF10E1" w:rsidRPr="0096505F" w:rsidRDefault="00CF10E1" w:rsidP="00CF10E1">
            <w:pPr>
              <w:pStyle w:val="Paragraphedeliste"/>
              <w:autoSpaceDE w:val="0"/>
              <w:autoSpaceDN w:val="0"/>
              <w:adjustRightInd w:val="0"/>
              <w:spacing w:before="120"/>
              <w:ind w:left="0"/>
              <w:contextualSpacing w:val="0"/>
              <w:jc w:val="center"/>
              <w:rPr>
                <w:rFonts w:cs="Arial"/>
                <w:sz w:val="20"/>
                <w:szCs w:val="22"/>
              </w:rPr>
            </w:pPr>
            <w:r w:rsidRPr="0096505F">
              <w:rPr>
                <w:rFonts w:cs="Arial"/>
                <w:sz w:val="20"/>
                <w:szCs w:val="22"/>
              </w:rPr>
              <w:t>27 LRCC</w:t>
            </w:r>
          </w:p>
          <w:p w:rsidR="00CF10E1" w:rsidRPr="0096505F" w:rsidRDefault="00CF10E1" w:rsidP="00CF10E1">
            <w:pPr>
              <w:pStyle w:val="Paragraphedeliste"/>
              <w:autoSpaceDE w:val="0"/>
              <w:autoSpaceDN w:val="0"/>
              <w:adjustRightInd w:val="0"/>
              <w:spacing w:before="120"/>
              <w:ind w:left="0"/>
              <w:contextualSpacing w:val="0"/>
              <w:jc w:val="center"/>
              <w:rPr>
                <w:rFonts w:cs="Arial"/>
                <w:sz w:val="20"/>
                <w:szCs w:val="22"/>
              </w:rPr>
            </w:pPr>
            <w:r w:rsidRPr="0096505F">
              <w:rPr>
                <w:rFonts w:cs="Arial"/>
                <w:sz w:val="20"/>
                <w:szCs w:val="22"/>
              </w:rPr>
              <w:t>257 LPC</w:t>
            </w:r>
          </w:p>
          <w:p w:rsidR="00CF10E1" w:rsidRPr="0096505F" w:rsidRDefault="00CF10E1" w:rsidP="00CF10E1">
            <w:pPr>
              <w:pStyle w:val="Paragraphedeliste"/>
              <w:autoSpaceDE w:val="0"/>
              <w:autoSpaceDN w:val="0"/>
              <w:adjustRightInd w:val="0"/>
              <w:spacing w:before="120"/>
              <w:ind w:left="0"/>
              <w:contextualSpacing w:val="0"/>
              <w:jc w:val="center"/>
              <w:rPr>
                <w:rFonts w:cs="Arial"/>
                <w:sz w:val="20"/>
                <w:szCs w:val="22"/>
              </w:rPr>
            </w:pPr>
            <w:r w:rsidRPr="0096505F">
              <w:rPr>
                <w:rFonts w:cs="Arial"/>
                <w:sz w:val="20"/>
                <w:szCs w:val="22"/>
              </w:rPr>
              <w:t>33 LAV</w:t>
            </w:r>
          </w:p>
          <w:p w:rsidR="00CF10E1" w:rsidRDefault="00CF10E1" w:rsidP="00CF10E1">
            <w:pPr>
              <w:pStyle w:val="Paragraphedeliste"/>
              <w:autoSpaceDE w:val="0"/>
              <w:autoSpaceDN w:val="0"/>
              <w:adjustRightInd w:val="0"/>
              <w:spacing w:before="120"/>
              <w:ind w:left="0"/>
              <w:contextualSpacing w:val="0"/>
              <w:jc w:val="center"/>
              <w:rPr>
                <w:rFonts w:cs="Arial"/>
                <w:sz w:val="20"/>
                <w:szCs w:val="22"/>
              </w:rPr>
            </w:pPr>
            <w:r w:rsidRPr="0096505F">
              <w:rPr>
                <w:rFonts w:cs="Arial"/>
                <w:sz w:val="20"/>
                <w:szCs w:val="22"/>
              </w:rPr>
              <w:t>21 LAPSFS</w:t>
            </w:r>
          </w:p>
        </w:tc>
        <w:tc>
          <w:tcPr>
            <w:tcW w:w="6480" w:type="dxa"/>
          </w:tcPr>
          <w:p w:rsidR="00CF10E1" w:rsidRPr="006D1CEB" w:rsidRDefault="00CF10E1" w:rsidP="006D1CEB">
            <w:pPr>
              <w:autoSpaceDE w:val="0"/>
              <w:autoSpaceDN w:val="0"/>
              <w:adjustRightInd w:val="0"/>
              <w:spacing w:before="120" w:after="120"/>
              <w:jc w:val="both"/>
              <w:rPr>
                <w:rFonts w:cs="Arial"/>
                <w:sz w:val="20"/>
                <w:szCs w:val="22"/>
              </w:rPr>
            </w:pPr>
            <w:r w:rsidRPr="00CF10E1">
              <w:rPr>
                <w:rFonts w:cs="Arial"/>
                <w:sz w:val="20"/>
                <w:szCs w:val="22"/>
              </w:rPr>
              <w:t>L’article 27 de la LRCC prévoit qu’un titulaire de permis doit avoir un compte en fidéicommis dans une banque ou autre société autorisée. Le nombre de comptes pouvant être détenus n’est pas limité. L’article 257 de la LPC prévoit que le commerçant doit n’avoir qu’un seul compte en fidéicommis. L’art. 33 de la LAV précise que les fonds perçus pour le compte d’autrui doivent être déposés dans un compte en fidéicommis détenu au Québec. Le nombre de comptes pouvant être détenus n’est pas limité. L’article 21 de la LAPSFS  prévoit que les sommes perçues d’un contrat d’arrangement doivent être déposées en fiducie auprès du dépositaire choisi en vertu de l’article 20.</w:t>
            </w:r>
          </w:p>
        </w:tc>
        <w:tc>
          <w:tcPr>
            <w:tcW w:w="5760" w:type="dxa"/>
          </w:tcPr>
          <w:p w:rsidR="00CF10E1" w:rsidRPr="00F002FA" w:rsidRDefault="00CF10E1" w:rsidP="001D0850">
            <w:pPr>
              <w:autoSpaceDE w:val="0"/>
              <w:autoSpaceDN w:val="0"/>
              <w:adjustRightInd w:val="0"/>
              <w:spacing w:before="120" w:after="120"/>
              <w:jc w:val="both"/>
              <w:rPr>
                <w:rFonts w:cs="Arial"/>
                <w:sz w:val="20"/>
                <w:szCs w:val="22"/>
                <w:u w:val="single"/>
              </w:rPr>
            </w:pPr>
            <w:r>
              <w:rPr>
                <w:rFonts w:cs="Arial"/>
                <w:sz w:val="20"/>
                <w:szCs w:val="22"/>
                <w:u w:val="single"/>
              </w:rPr>
              <w:t>Compte en fidéicommis</w:t>
            </w:r>
            <w:r w:rsidRPr="00CF10E1">
              <w:rPr>
                <w:rFonts w:cs="Arial"/>
                <w:sz w:val="20"/>
                <w:szCs w:val="22"/>
              </w:rPr>
              <w:t> : harmoniser les mesures relatives à la possibilité de détenir un ou plusieurs comptes en fidéicommis dans les différentes lois</w:t>
            </w:r>
            <w:r w:rsidR="003764B7">
              <w:rPr>
                <w:rFonts w:cs="Arial"/>
                <w:sz w:val="20"/>
                <w:szCs w:val="22"/>
              </w:rPr>
              <w:t xml:space="preserve"> de manière à permettre d’en avoir plusieurs</w:t>
            </w:r>
            <w:r w:rsidRPr="00CF10E1">
              <w:rPr>
                <w:rFonts w:cs="Arial"/>
                <w:sz w:val="20"/>
                <w:szCs w:val="22"/>
              </w:rPr>
              <w:t>.</w:t>
            </w:r>
          </w:p>
        </w:tc>
        <w:tc>
          <w:tcPr>
            <w:tcW w:w="5490" w:type="dxa"/>
          </w:tcPr>
          <w:p w:rsidR="00CF10E1" w:rsidRDefault="00CF10E1" w:rsidP="00F002FA">
            <w:pPr>
              <w:spacing w:before="120" w:after="120"/>
              <w:jc w:val="both"/>
              <w:rPr>
                <w:rFonts w:cs="Arial"/>
                <w:sz w:val="20"/>
                <w:szCs w:val="22"/>
                <w:u w:val="single"/>
              </w:rPr>
            </w:pPr>
          </w:p>
        </w:tc>
      </w:tr>
      <w:tr w:rsidR="00FC3A9F" w:rsidRPr="00434009" w:rsidTr="000D6902">
        <w:tc>
          <w:tcPr>
            <w:tcW w:w="540" w:type="dxa"/>
            <w:vAlign w:val="center"/>
          </w:tcPr>
          <w:p w:rsidR="00FC3A9F" w:rsidRDefault="007E337B" w:rsidP="000D6902">
            <w:pPr>
              <w:pStyle w:val="Paragraphedeliste"/>
              <w:autoSpaceDE w:val="0"/>
              <w:autoSpaceDN w:val="0"/>
              <w:adjustRightInd w:val="0"/>
              <w:spacing w:before="120"/>
              <w:ind w:left="0"/>
              <w:contextualSpacing w:val="0"/>
              <w:jc w:val="center"/>
              <w:rPr>
                <w:rFonts w:cs="Arial"/>
                <w:sz w:val="20"/>
                <w:szCs w:val="22"/>
              </w:rPr>
            </w:pPr>
            <w:r>
              <w:rPr>
                <w:rFonts w:cs="Arial"/>
                <w:sz w:val="20"/>
                <w:szCs w:val="22"/>
              </w:rPr>
              <w:t>52</w:t>
            </w:r>
          </w:p>
        </w:tc>
        <w:tc>
          <w:tcPr>
            <w:tcW w:w="1260" w:type="dxa"/>
            <w:vAlign w:val="center"/>
          </w:tcPr>
          <w:p w:rsidR="00FC3A9F" w:rsidRDefault="00893CDB" w:rsidP="00CF10E1">
            <w:pPr>
              <w:pStyle w:val="Paragraphedeliste"/>
              <w:autoSpaceDE w:val="0"/>
              <w:autoSpaceDN w:val="0"/>
              <w:adjustRightInd w:val="0"/>
              <w:spacing w:before="120"/>
              <w:ind w:left="0"/>
              <w:contextualSpacing w:val="0"/>
              <w:jc w:val="center"/>
              <w:rPr>
                <w:rFonts w:cs="Arial"/>
                <w:sz w:val="20"/>
                <w:szCs w:val="22"/>
              </w:rPr>
            </w:pPr>
            <w:r w:rsidRPr="0096505F">
              <w:rPr>
                <w:rFonts w:cs="Arial"/>
                <w:sz w:val="20"/>
                <w:szCs w:val="22"/>
              </w:rPr>
              <w:t>LPC</w:t>
            </w:r>
          </w:p>
        </w:tc>
        <w:tc>
          <w:tcPr>
            <w:tcW w:w="6480" w:type="dxa"/>
          </w:tcPr>
          <w:p w:rsidR="00FC3A9F" w:rsidRDefault="00FC3A9F" w:rsidP="006D1CEB">
            <w:pPr>
              <w:autoSpaceDE w:val="0"/>
              <w:autoSpaceDN w:val="0"/>
              <w:adjustRightInd w:val="0"/>
              <w:spacing w:before="120" w:after="120"/>
              <w:jc w:val="both"/>
              <w:rPr>
                <w:rFonts w:cs="Arial"/>
                <w:sz w:val="20"/>
                <w:szCs w:val="22"/>
              </w:rPr>
            </w:pPr>
            <w:r w:rsidRPr="00FC3A9F">
              <w:rPr>
                <w:rFonts w:cs="Arial"/>
                <w:sz w:val="20"/>
                <w:szCs w:val="22"/>
              </w:rPr>
              <w:t xml:space="preserve">Les activités de courtage immobilier et hypothécaire sont, au Québec, encadrées par la </w:t>
            </w:r>
            <w:r w:rsidRPr="00FC3A9F">
              <w:rPr>
                <w:rFonts w:cs="Arial"/>
                <w:i/>
                <w:sz w:val="20"/>
                <w:szCs w:val="22"/>
              </w:rPr>
              <w:t>Loi sur le courtage immobilier</w:t>
            </w:r>
            <w:r w:rsidRPr="00FC3A9F">
              <w:rPr>
                <w:rFonts w:cs="Arial"/>
                <w:sz w:val="20"/>
                <w:szCs w:val="22"/>
              </w:rPr>
              <w:t xml:space="preserve"> (LCI) dont l’application relève de l’Organisme d’autoréglementation du courtage immobilier du Québec (OACIQ), sous l’autorité du ministère des Finances du Québec.</w:t>
            </w:r>
          </w:p>
          <w:p w:rsidR="00AA703B" w:rsidRPr="00CF10E1" w:rsidRDefault="00AA703B" w:rsidP="003764B7">
            <w:pPr>
              <w:autoSpaceDE w:val="0"/>
              <w:autoSpaceDN w:val="0"/>
              <w:adjustRightInd w:val="0"/>
              <w:spacing w:before="120" w:after="120"/>
              <w:jc w:val="both"/>
              <w:rPr>
                <w:rFonts w:cs="Arial"/>
                <w:sz w:val="20"/>
                <w:szCs w:val="22"/>
              </w:rPr>
            </w:pPr>
            <w:r>
              <w:rPr>
                <w:rFonts w:cs="Arial"/>
                <w:sz w:val="20"/>
                <w:szCs w:val="22"/>
              </w:rPr>
              <w:t>Les consommateurs qui font affaire avec un courtier</w:t>
            </w:r>
            <w:r w:rsidR="000B6083">
              <w:rPr>
                <w:rFonts w:cs="Arial"/>
                <w:sz w:val="20"/>
                <w:szCs w:val="22"/>
              </w:rPr>
              <w:t xml:space="preserve"> ou une agence bénéficient de certaines </w:t>
            </w:r>
            <w:r>
              <w:rPr>
                <w:rFonts w:cs="Arial"/>
                <w:sz w:val="20"/>
                <w:szCs w:val="22"/>
              </w:rPr>
              <w:t>protections.</w:t>
            </w:r>
            <w:r w:rsidR="00893CDB">
              <w:rPr>
                <w:rFonts w:cs="Arial"/>
                <w:sz w:val="20"/>
                <w:szCs w:val="22"/>
              </w:rPr>
              <w:t xml:space="preserve"> À</w:t>
            </w:r>
            <w:r w:rsidR="00FD4EB1">
              <w:rPr>
                <w:rFonts w:cs="Arial"/>
                <w:sz w:val="20"/>
                <w:szCs w:val="22"/>
              </w:rPr>
              <w:t xml:space="preserve"> titre d’exemple, les consommateurs </w:t>
            </w:r>
            <w:r w:rsidR="00FD4EB1" w:rsidRPr="00FD4EB1">
              <w:rPr>
                <w:rFonts w:cs="Arial"/>
                <w:sz w:val="20"/>
                <w:szCs w:val="22"/>
              </w:rPr>
              <w:t>qui sont victimes de fraude, d’opération malhonnête ou de détournement de fonds dans le cadre d’une transaction</w:t>
            </w:r>
            <w:r w:rsidR="00FD4EB1">
              <w:rPr>
                <w:rFonts w:cs="Arial"/>
                <w:sz w:val="20"/>
                <w:szCs w:val="22"/>
              </w:rPr>
              <w:t xml:space="preserve"> pourraient </w:t>
            </w:r>
            <w:r w:rsidR="00FD4EB1">
              <w:rPr>
                <w:rFonts w:cs="Arial"/>
                <w:sz w:val="20"/>
                <w:szCs w:val="22"/>
              </w:rPr>
              <w:lastRenderedPageBreak/>
              <w:t>être indemnisés par</w:t>
            </w:r>
            <w:r w:rsidR="00FD4EB1" w:rsidRPr="00FD4EB1">
              <w:rPr>
                <w:rFonts w:cs="Arial"/>
                <w:sz w:val="20"/>
                <w:szCs w:val="22"/>
              </w:rPr>
              <w:t xml:space="preserve"> le Fonds d’indemnisation du courtage immobilier (FICI)</w:t>
            </w:r>
            <w:r w:rsidR="00FD4EB1">
              <w:rPr>
                <w:rFonts w:cs="Arial"/>
                <w:sz w:val="20"/>
                <w:szCs w:val="22"/>
              </w:rPr>
              <w:t>, créé par la LCI.</w:t>
            </w:r>
            <w:r w:rsidR="00FD4EB1" w:rsidRPr="00FD4EB1">
              <w:rPr>
                <w:rFonts w:cs="Arial"/>
                <w:sz w:val="20"/>
                <w:szCs w:val="22"/>
              </w:rPr>
              <w:t xml:space="preserve"> Pour avoir droit à une telle indemnisation, le courtier ou l’agence impliqué dans la transaction doit être titulaire d’un permis d’exercice en règle, délivré par l’OACIQ.</w:t>
            </w:r>
            <w:r w:rsidR="003764B7" w:rsidDel="003764B7">
              <w:rPr>
                <w:rFonts w:cs="Arial"/>
                <w:sz w:val="20"/>
                <w:szCs w:val="22"/>
              </w:rPr>
              <w:t xml:space="preserve"> </w:t>
            </w:r>
          </w:p>
        </w:tc>
        <w:tc>
          <w:tcPr>
            <w:tcW w:w="5760" w:type="dxa"/>
          </w:tcPr>
          <w:p w:rsidR="00893CDB" w:rsidRPr="0096505F" w:rsidRDefault="00893CDB" w:rsidP="00F930AF">
            <w:pPr>
              <w:autoSpaceDE w:val="0"/>
              <w:autoSpaceDN w:val="0"/>
              <w:adjustRightInd w:val="0"/>
              <w:spacing w:before="120" w:after="120"/>
              <w:jc w:val="both"/>
              <w:rPr>
                <w:rFonts w:cs="Arial"/>
                <w:sz w:val="20"/>
                <w:szCs w:val="22"/>
              </w:rPr>
            </w:pPr>
            <w:r w:rsidRPr="0096505F">
              <w:rPr>
                <w:rFonts w:cs="Arial"/>
                <w:sz w:val="20"/>
                <w:szCs w:val="22"/>
                <w:u w:val="single"/>
              </w:rPr>
              <w:lastRenderedPageBreak/>
              <w:t>Mise en marché d’un immeuble – services d’assistance</w:t>
            </w:r>
            <w:r w:rsidRPr="0096505F">
              <w:rPr>
                <w:rFonts w:cs="Arial"/>
                <w:sz w:val="20"/>
                <w:szCs w:val="22"/>
              </w:rPr>
              <w:t xml:space="preserve"> : </w:t>
            </w:r>
            <w:r w:rsidR="00804E2C" w:rsidRPr="0096505F">
              <w:rPr>
                <w:rFonts w:cs="Arial"/>
                <w:sz w:val="20"/>
                <w:szCs w:val="22"/>
              </w:rPr>
              <w:t>le</w:t>
            </w:r>
            <w:r w:rsidR="00F930AF" w:rsidRPr="0096505F">
              <w:rPr>
                <w:rFonts w:cs="Arial"/>
                <w:sz w:val="20"/>
                <w:szCs w:val="22"/>
              </w:rPr>
              <w:t xml:space="preserve"> contrat </w:t>
            </w:r>
            <w:r w:rsidRPr="0096505F">
              <w:rPr>
                <w:rFonts w:cs="Arial"/>
                <w:sz w:val="20"/>
                <w:szCs w:val="22"/>
              </w:rPr>
              <w:t>portant sur</w:t>
            </w:r>
            <w:r w:rsidR="00AA703B" w:rsidRPr="0096505F">
              <w:rPr>
                <w:rFonts w:cs="Arial"/>
                <w:sz w:val="20"/>
                <w:szCs w:val="22"/>
              </w:rPr>
              <w:t xml:space="preserve"> des services </w:t>
            </w:r>
            <w:r w:rsidR="00F930AF" w:rsidRPr="0096505F">
              <w:rPr>
                <w:rFonts w:cs="Arial"/>
                <w:sz w:val="20"/>
                <w:szCs w:val="22"/>
              </w:rPr>
              <w:t xml:space="preserve">de </w:t>
            </w:r>
            <w:r w:rsidR="00AA703B" w:rsidRPr="0096505F">
              <w:rPr>
                <w:rFonts w:cs="Arial"/>
                <w:sz w:val="20"/>
                <w:szCs w:val="22"/>
              </w:rPr>
              <w:t>mises en marché d’un imm</w:t>
            </w:r>
            <w:r w:rsidR="00F930AF" w:rsidRPr="0096505F">
              <w:rPr>
                <w:rFonts w:cs="Arial"/>
                <w:sz w:val="20"/>
                <w:szCs w:val="22"/>
              </w:rPr>
              <w:t xml:space="preserve">euble à vocation résidentielle, </w:t>
            </w:r>
            <w:r w:rsidR="00804E2C" w:rsidRPr="0096505F">
              <w:rPr>
                <w:rFonts w:cs="Arial"/>
                <w:sz w:val="20"/>
                <w:szCs w:val="22"/>
              </w:rPr>
              <w:t xml:space="preserve">qui ne sont pas encadrés par la LCI, doit être </w:t>
            </w:r>
            <w:r w:rsidR="00F930AF" w:rsidRPr="0096505F">
              <w:rPr>
                <w:rFonts w:cs="Arial"/>
                <w:sz w:val="20"/>
                <w:szCs w:val="22"/>
              </w:rPr>
              <w:t>constaté par écrit et indique</w:t>
            </w:r>
            <w:r w:rsidR="00804E2C" w:rsidRPr="0096505F">
              <w:rPr>
                <w:rFonts w:cs="Arial"/>
                <w:sz w:val="20"/>
                <w:szCs w:val="22"/>
              </w:rPr>
              <w:t>r</w:t>
            </w:r>
            <w:r w:rsidR="00F930AF" w:rsidRPr="0096505F">
              <w:rPr>
                <w:rFonts w:cs="Arial"/>
                <w:sz w:val="20"/>
                <w:szCs w:val="22"/>
              </w:rPr>
              <w:t xml:space="preserve"> la mention suivante, qui pourrait être prescrite par règlement : </w:t>
            </w:r>
          </w:p>
          <w:p w:rsidR="00FC3A9F" w:rsidRDefault="00AA703B" w:rsidP="003764B7">
            <w:pPr>
              <w:autoSpaceDE w:val="0"/>
              <w:autoSpaceDN w:val="0"/>
              <w:adjustRightInd w:val="0"/>
              <w:spacing w:before="120" w:after="120"/>
              <w:jc w:val="both"/>
              <w:rPr>
                <w:rFonts w:cs="Arial"/>
                <w:sz w:val="20"/>
                <w:szCs w:val="22"/>
                <w:u w:val="single"/>
              </w:rPr>
            </w:pPr>
            <w:r w:rsidRPr="0096505F">
              <w:rPr>
                <w:rFonts w:cs="Arial"/>
                <w:sz w:val="20"/>
                <w:szCs w:val="22"/>
              </w:rPr>
              <w:t xml:space="preserve">Le présent contrat n'est pas un contrat de courtage immobilier au sens de la Loi sur le courtage immobilier (chapitre C-73.2). En conséquence, ni le contrat ni le commerçant ne sont </w:t>
            </w:r>
            <w:r w:rsidR="003764B7" w:rsidRPr="0096505F">
              <w:rPr>
                <w:rFonts w:cs="Arial"/>
                <w:sz w:val="20"/>
                <w:szCs w:val="22"/>
              </w:rPr>
              <w:lastRenderedPageBreak/>
              <w:t xml:space="preserve">encadrés </w:t>
            </w:r>
            <w:r w:rsidRPr="0096505F">
              <w:rPr>
                <w:rFonts w:cs="Arial"/>
                <w:sz w:val="20"/>
                <w:szCs w:val="22"/>
              </w:rPr>
              <w:t>par l'Organisme d'autoréglementation du courtage immobilier du Québec.</w:t>
            </w:r>
            <w:r w:rsidRPr="0096505F">
              <w:rPr>
                <w:rFonts w:cs="Arial"/>
                <w:sz w:val="20"/>
                <w:szCs w:val="22"/>
                <w:u w:val="single"/>
              </w:rPr>
              <w:t xml:space="preserve"> </w:t>
            </w:r>
          </w:p>
        </w:tc>
        <w:tc>
          <w:tcPr>
            <w:tcW w:w="5490" w:type="dxa"/>
          </w:tcPr>
          <w:p w:rsidR="00FC3A9F" w:rsidRDefault="00FC3A9F" w:rsidP="00CF10E1">
            <w:pPr>
              <w:spacing w:before="120" w:after="120"/>
              <w:jc w:val="both"/>
              <w:rPr>
                <w:rFonts w:cs="Arial"/>
                <w:sz w:val="20"/>
                <w:szCs w:val="22"/>
                <w:u w:val="single"/>
              </w:rPr>
            </w:pPr>
          </w:p>
        </w:tc>
      </w:tr>
      <w:tr w:rsidR="00D73FAB" w:rsidRPr="00434009" w:rsidTr="000D6902">
        <w:tc>
          <w:tcPr>
            <w:tcW w:w="540" w:type="dxa"/>
            <w:vAlign w:val="center"/>
          </w:tcPr>
          <w:p w:rsidR="00D73FAB" w:rsidRDefault="00D73FAB" w:rsidP="000D6902">
            <w:pPr>
              <w:pStyle w:val="Paragraphedeliste"/>
              <w:autoSpaceDE w:val="0"/>
              <w:autoSpaceDN w:val="0"/>
              <w:adjustRightInd w:val="0"/>
              <w:spacing w:before="120"/>
              <w:ind w:left="0"/>
              <w:contextualSpacing w:val="0"/>
              <w:jc w:val="center"/>
              <w:rPr>
                <w:rFonts w:cs="Arial"/>
                <w:sz w:val="20"/>
                <w:szCs w:val="22"/>
              </w:rPr>
            </w:pPr>
          </w:p>
        </w:tc>
        <w:tc>
          <w:tcPr>
            <w:tcW w:w="1260" w:type="dxa"/>
            <w:vAlign w:val="center"/>
          </w:tcPr>
          <w:p w:rsidR="00D73FAB" w:rsidRPr="0096505F" w:rsidRDefault="00D73FAB" w:rsidP="00CF10E1">
            <w:pPr>
              <w:pStyle w:val="Paragraphedeliste"/>
              <w:autoSpaceDE w:val="0"/>
              <w:autoSpaceDN w:val="0"/>
              <w:adjustRightInd w:val="0"/>
              <w:spacing w:before="120"/>
              <w:ind w:left="0"/>
              <w:contextualSpacing w:val="0"/>
              <w:jc w:val="center"/>
              <w:rPr>
                <w:rFonts w:cs="Arial"/>
                <w:sz w:val="20"/>
                <w:szCs w:val="22"/>
              </w:rPr>
            </w:pPr>
          </w:p>
        </w:tc>
        <w:tc>
          <w:tcPr>
            <w:tcW w:w="6480" w:type="dxa"/>
          </w:tcPr>
          <w:p w:rsidR="00D73FAB" w:rsidRPr="00FC3A9F" w:rsidRDefault="00D73FAB" w:rsidP="006D1CEB">
            <w:pPr>
              <w:autoSpaceDE w:val="0"/>
              <w:autoSpaceDN w:val="0"/>
              <w:adjustRightInd w:val="0"/>
              <w:spacing w:before="120" w:after="120"/>
              <w:jc w:val="both"/>
              <w:rPr>
                <w:rFonts w:cs="Arial"/>
                <w:sz w:val="20"/>
                <w:szCs w:val="22"/>
              </w:rPr>
            </w:pPr>
          </w:p>
        </w:tc>
        <w:tc>
          <w:tcPr>
            <w:tcW w:w="5760" w:type="dxa"/>
          </w:tcPr>
          <w:p w:rsidR="00D73FAB" w:rsidRPr="0096505F" w:rsidRDefault="00D73FAB" w:rsidP="00F930AF">
            <w:pPr>
              <w:autoSpaceDE w:val="0"/>
              <w:autoSpaceDN w:val="0"/>
              <w:adjustRightInd w:val="0"/>
              <w:spacing w:before="120" w:after="120"/>
              <w:jc w:val="both"/>
              <w:rPr>
                <w:rFonts w:cs="Arial"/>
                <w:sz w:val="20"/>
                <w:szCs w:val="22"/>
                <w:u w:val="single"/>
              </w:rPr>
            </w:pPr>
          </w:p>
        </w:tc>
        <w:tc>
          <w:tcPr>
            <w:tcW w:w="5490" w:type="dxa"/>
          </w:tcPr>
          <w:p w:rsidR="00D73FAB" w:rsidRDefault="00D73FAB" w:rsidP="00CF10E1">
            <w:pPr>
              <w:spacing w:before="120" w:after="120"/>
              <w:jc w:val="both"/>
              <w:rPr>
                <w:rFonts w:cs="Arial"/>
                <w:sz w:val="20"/>
                <w:szCs w:val="22"/>
                <w:u w:val="single"/>
              </w:rPr>
            </w:pPr>
          </w:p>
        </w:tc>
      </w:tr>
      <w:tr w:rsidR="00D73FAB" w:rsidRPr="00434009" w:rsidTr="000D6902">
        <w:tc>
          <w:tcPr>
            <w:tcW w:w="540" w:type="dxa"/>
            <w:vAlign w:val="center"/>
          </w:tcPr>
          <w:p w:rsidR="00D73FAB" w:rsidRDefault="00D73FAB" w:rsidP="000D6902">
            <w:pPr>
              <w:pStyle w:val="Paragraphedeliste"/>
              <w:autoSpaceDE w:val="0"/>
              <w:autoSpaceDN w:val="0"/>
              <w:adjustRightInd w:val="0"/>
              <w:spacing w:before="120"/>
              <w:ind w:left="0"/>
              <w:contextualSpacing w:val="0"/>
              <w:jc w:val="center"/>
              <w:rPr>
                <w:rFonts w:cs="Arial"/>
                <w:sz w:val="20"/>
                <w:szCs w:val="22"/>
              </w:rPr>
            </w:pPr>
          </w:p>
        </w:tc>
        <w:tc>
          <w:tcPr>
            <w:tcW w:w="1260" w:type="dxa"/>
            <w:vAlign w:val="center"/>
          </w:tcPr>
          <w:p w:rsidR="00D73FAB" w:rsidRPr="0096505F" w:rsidRDefault="00D73FAB" w:rsidP="00CF10E1">
            <w:pPr>
              <w:pStyle w:val="Paragraphedeliste"/>
              <w:autoSpaceDE w:val="0"/>
              <w:autoSpaceDN w:val="0"/>
              <w:adjustRightInd w:val="0"/>
              <w:spacing w:before="120"/>
              <w:ind w:left="0"/>
              <w:contextualSpacing w:val="0"/>
              <w:jc w:val="center"/>
              <w:rPr>
                <w:rFonts w:cs="Arial"/>
                <w:sz w:val="20"/>
                <w:szCs w:val="22"/>
              </w:rPr>
            </w:pPr>
          </w:p>
        </w:tc>
        <w:tc>
          <w:tcPr>
            <w:tcW w:w="6480" w:type="dxa"/>
          </w:tcPr>
          <w:p w:rsidR="00D73FAB" w:rsidRPr="00FC3A9F" w:rsidRDefault="00D73FAB" w:rsidP="006D1CEB">
            <w:pPr>
              <w:autoSpaceDE w:val="0"/>
              <w:autoSpaceDN w:val="0"/>
              <w:adjustRightInd w:val="0"/>
              <w:spacing w:before="120" w:after="120"/>
              <w:jc w:val="both"/>
              <w:rPr>
                <w:rFonts w:cs="Arial"/>
                <w:sz w:val="20"/>
                <w:szCs w:val="22"/>
              </w:rPr>
            </w:pPr>
          </w:p>
        </w:tc>
        <w:tc>
          <w:tcPr>
            <w:tcW w:w="5760" w:type="dxa"/>
          </w:tcPr>
          <w:p w:rsidR="00D73FAB" w:rsidRPr="0096505F" w:rsidRDefault="00D73FAB" w:rsidP="00F930AF">
            <w:pPr>
              <w:autoSpaceDE w:val="0"/>
              <w:autoSpaceDN w:val="0"/>
              <w:adjustRightInd w:val="0"/>
              <w:spacing w:before="120" w:after="120"/>
              <w:jc w:val="both"/>
              <w:rPr>
                <w:rFonts w:cs="Arial"/>
                <w:sz w:val="20"/>
                <w:szCs w:val="22"/>
                <w:u w:val="single"/>
              </w:rPr>
            </w:pPr>
          </w:p>
        </w:tc>
        <w:tc>
          <w:tcPr>
            <w:tcW w:w="5490" w:type="dxa"/>
          </w:tcPr>
          <w:p w:rsidR="00D73FAB" w:rsidRDefault="00D73FAB" w:rsidP="00CF10E1">
            <w:pPr>
              <w:spacing w:before="120" w:after="120"/>
              <w:jc w:val="both"/>
              <w:rPr>
                <w:rFonts w:cs="Arial"/>
                <w:sz w:val="20"/>
                <w:szCs w:val="22"/>
                <w:u w:val="single"/>
              </w:rPr>
            </w:pPr>
          </w:p>
        </w:tc>
      </w:tr>
    </w:tbl>
    <w:p w:rsidR="00861034" w:rsidRPr="00861034" w:rsidRDefault="00861034" w:rsidP="00890595">
      <w:pPr>
        <w:rPr>
          <w:rFonts w:cs="Arial"/>
          <w:b/>
        </w:rPr>
      </w:pPr>
    </w:p>
    <w:sectPr w:rsidR="00861034" w:rsidRPr="00861034" w:rsidSect="00236A3B">
      <w:headerReference w:type="first" r:id="rId12"/>
      <w:pgSz w:w="20160" w:h="12240" w:orient="landscape" w:code="5"/>
      <w:pgMar w:top="864" w:right="720" w:bottom="432" w:left="720" w:header="900" w:footer="1138"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AF" w:rsidRDefault="001E3FAF" w:rsidP="003641D4">
      <w:r>
        <w:separator/>
      </w:r>
    </w:p>
  </w:endnote>
  <w:endnote w:type="continuationSeparator" w:id="0">
    <w:p w:rsidR="001E3FAF" w:rsidRDefault="001E3FAF" w:rsidP="0036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AF" w:rsidRDefault="001E3FAF">
    <w:pPr>
      <w:pStyle w:val="Pieddepage"/>
      <w:jc w:val="right"/>
    </w:pPr>
    <w:r>
      <w:fldChar w:fldCharType="begin"/>
    </w:r>
    <w:r>
      <w:instrText xml:space="preserve"> PAGE   \* MERGEFORMAT </w:instrText>
    </w:r>
    <w:r>
      <w:fldChar w:fldCharType="separate"/>
    </w:r>
    <w:r w:rsidR="00A5056A">
      <w:rPr>
        <w:noProof/>
      </w:rPr>
      <w:t>21</w:t>
    </w:r>
    <w:r>
      <w:rPr>
        <w:noProof/>
      </w:rPr>
      <w:fldChar w:fldCharType="end"/>
    </w:r>
  </w:p>
  <w:p w:rsidR="001E3FAF" w:rsidRDefault="001E3F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AF" w:rsidRDefault="001E3FAF" w:rsidP="003641D4">
      <w:r>
        <w:separator/>
      </w:r>
    </w:p>
  </w:footnote>
  <w:footnote w:type="continuationSeparator" w:id="0">
    <w:p w:rsidR="001E3FAF" w:rsidRDefault="001E3FAF" w:rsidP="00364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AF" w:rsidRDefault="001E3FAF">
    <w:pPr>
      <w:pStyle w:val="En-tte"/>
    </w:pPr>
    <w:r>
      <w:t>Commentaires de :</w:t>
    </w:r>
  </w:p>
  <w:p w:rsidR="001E3FAF" w:rsidRDefault="001E3F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AF" w:rsidRDefault="001E3FAF">
    <w:pPr>
      <w:pStyle w:val="En-tte"/>
    </w:pPr>
  </w:p>
  <w:p w:rsidR="001E3FAF" w:rsidRDefault="001E3FA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AF" w:rsidRDefault="001E3FAF">
    <w:pPr>
      <w:pStyle w:val="En-tte"/>
    </w:pPr>
    <w:r>
      <w:t>Commentaires de :</w:t>
    </w:r>
  </w:p>
  <w:p w:rsidR="001E3FAF" w:rsidRDefault="001E3F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776"/>
    <w:multiLevelType w:val="hybridMultilevel"/>
    <w:tmpl w:val="0EFE8D3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19F5F13"/>
    <w:multiLevelType w:val="hybridMultilevel"/>
    <w:tmpl w:val="6B88BBD8"/>
    <w:lvl w:ilvl="0" w:tplc="9680391A">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1CE78FC"/>
    <w:multiLevelType w:val="hybridMultilevel"/>
    <w:tmpl w:val="777C498C"/>
    <w:lvl w:ilvl="0" w:tplc="F86028BC">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1D2009D"/>
    <w:multiLevelType w:val="hybridMultilevel"/>
    <w:tmpl w:val="66343D14"/>
    <w:lvl w:ilvl="0" w:tplc="59E661F2">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1F55023"/>
    <w:multiLevelType w:val="hybridMultilevel"/>
    <w:tmpl w:val="4256466E"/>
    <w:lvl w:ilvl="0" w:tplc="5AE0CC30">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317283B"/>
    <w:multiLevelType w:val="hybridMultilevel"/>
    <w:tmpl w:val="569AD7F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0320043F"/>
    <w:multiLevelType w:val="hybridMultilevel"/>
    <w:tmpl w:val="49D628E4"/>
    <w:lvl w:ilvl="0" w:tplc="B9BE6548">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39775F4"/>
    <w:multiLevelType w:val="hybridMultilevel"/>
    <w:tmpl w:val="BEE87922"/>
    <w:lvl w:ilvl="0" w:tplc="26EED3FC">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3F045C6"/>
    <w:multiLevelType w:val="hybridMultilevel"/>
    <w:tmpl w:val="C71C253A"/>
    <w:lvl w:ilvl="0" w:tplc="3A182000">
      <w:start w:val="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450248B"/>
    <w:multiLevelType w:val="hybridMultilevel"/>
    <w:tmpl w:val="23E8C550"/>
    <w:lvl w:ilvl="0" w:tplc="E3420326">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4573F26"/>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4A314B7"/>
    <w:multiLevelType w:val="hybridMultilevel"/>
    <w:tmpl w:val="C05403E6"/>
    <w:lvl w:ilvl="0" w:tplc="EFC2675E">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4DC2327"/>
    <w:multiLevelType w:val="hybridMultilevel"/>
    <w:tmpl w:val="A1E68D9E"/>
    <w:lvl w:ilvl="0" w:tplc="7C8EB81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67D0F2B"/>
    <w:multiLevelType w:val="hybridMultilevel"/>
    <w:tmpl w:val="1D18A3CC"/>
    <w:lvl w:ilvl="0" w:tplc="5C4EA3D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06CF722A"/>
    <w:multiLevelType w:val="hybridMultilevel"/>
    <w:tmpl w:val="26E21EE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07834C8A"/>
    <w:multiLevelType w:val="hybridMultilevel"/>
    <w:tmpl w:val="128498AC"/>
    <w:lvl w:ilvl="0" w:tplc="25F0C7C2">
      <w:start w:val="2"/>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078707BB"/>
    <w:multiLevelType w:val="hybridMultilevel"/>
    <w:tmpl w:val="6448A236"/>
    <w:lvl w:ilvl="0" w:tplc="3198F274">
      <w:start w:val="7"/>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07F31ACD"/>
    <w:multiLevelType w:val="hybridMultilevel"/>
    <w:tmpl w:val="B3F44E2C"/>
    <w:lvl w:ilvl="0" w:tplc="73D2BA78">
      <w:start w:val="2"/>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08A84CA4"/>
    <w:multiLevelType w:val="hybridMultilevel"/>
    <w:tmpl w:val="F9EEE3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08FA0AC2"/>
    <w:multiLevelType w:val="hybridMultilevel"/>
    <w:tmpl w:val="E682BE1C"/>
    <w:lvl w:ilvl="0" w:tplc="46742E50">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09023EE4"/>
    <w:multiLevelType w:val="hybridMultilevel"/>
    <w:tmpl w:val="E7A07198"/>
    <w:lvl w:ilvl="0" w:tplc="121C3DAA">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09386C25"/>
    <w:multiLevelType w:val="hybridMultilevel"/>
    <w:tmpl w:val="2640E3F4"/>
    <w:lvl w:ilvl="0" w:tplc="2E747B3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09605451"/>
    <w:multiLevelType w:val="hybridMultilevel"/>
    <w:tmpl w:val="E776277A"/>
    <w:lvl w:ilvl="0" w:tplc="446653E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0A114DEA"/>
    <w:multiLevelType w:val="hybridMultilevel"/>
    <w:tmpl w:val="A60801DE"/>
    <w:lvl w:ilvl="0" w:tplc="FB5452FC">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0ADB2C82"/>
    <w:multiLevelType w:val="hybridMultilevel"/>
    <w:tmpl w:val="439AB5D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0AEB7EAC"/>
    <w:multiLevelType w:val="hybridMultilevel"/>
    <w:tmpl w:val="C81C8398"/>
    <w:lvl w:ilvl="0" w:tplc="D0B0AAC6">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0B655910"/>
    <w:multiLevelType w:val="hybridMultilevel"/>
    <w:tmpl w:val="0BFAD0DC"/>
    <w:lvl w:ilvl="0" w:tplc="29BEDA1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0B72429B"/>
    <w:multiLevelType w:val="hybridMultilevel"/>
    <w:tmpl w:val="CBF61CBA"/>
    <w:lvl w:ilvl="0" w:tplc="20826B98">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0BD17511"/>
    <w:multiLevelType w:val="hybridMultilevel"/>
    <w:tmpl w:val="C4FCA868"/>
    <w:lvl w:ilvl="0" w:tplc="F574F91A">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0BE75C85"/>
    <w:multiLevelType w:val="hybridMultilevel"/>
    <w:tmpl w:val="49246B0C"/>
    <w:lvl w:ilvl="0" w:tplc="375EA11C">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0C0E1530"/>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0C321C70"/>
    <w:multiLevelType w:val="hybridMultilevel"/>
    <w:tmpl w:val="339A2C6C"/>
    <w:lvl w:ilvl="0" w:tplc="72E43798">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0C9135D2"/>
    <w:multiLevelType w:val="hybridMultilevel"/>
    <w:tmpl w:val="0F0C8FB0"/>
    <w:lvl w:ilvl="0" w:tplc="ACCCC444">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0E1F6663"/>
    <w:multiLevelType w:val="hybridMultilevel"/>
    <w:tmpl w:val="619ADF6E"/>
    <w:lvl w:ilvl="0" w:tplc="6F8E151C">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0E5E66C1"/>
    <w:multiLevelType w:val="hybridMultilevel"/>
    <w:tmpl w:val="92880AF4"/>
    <w:lvl w:ilvl="0" w:tplc="ED0A1E98">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0E88270F"/>
    <w:multiLevelType w:val="hybridMultilevel"/>
    <w:tmpl w:val="6F0CA8EA"/>
    <w:lvl w:ilvl="0" w:tplc="D2D00AC2">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0E9800F3"/>
    <w:multiLevelType w:val="hybridMultilevel"/>
    <w:tmpl w:val="473C2274"/>
    <w:lvl w:ilvl="0" w:tplc="32D6983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0F4F0199"/>
    <w:multiLevelType w:val="hybridMultilevel"/>
    <w:tmpl w:val="F54CFFBA"/>
    <w:lvl w:ilvl="0" w:tplc="F7DC69EC">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0FD75821"/>
    <w:multiLevelType w:val="hybridMultilevel"/>
    <w:tmpl w:val="75E08C3E"/>
    <w:lvl w:ilvl="0" w:tplc="78BC20D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1031666C"/>
    <w:multiLevelType w:val="hybridMultilevel"/>
    <w:tmpl w:val="F3989626"/>
    <w:lvl w:ilvl="0" w:tplc="40961C76">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10A3728B"/>
    <w:multiLevelType w:val="hybridMultilevel"/>
    <w:tmpl w:val="5B96E84C"/>
    <w:lvl w:ilvl="0" w:tplc="7872237A">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11A9298E"/>
    <w:multiLevelType w:val="hybridMultilevel"/>
    <w:tmpl w:val="30EACE86"/>
    <w:lvl w:ilvl="0" w:tplc="64B4AC22">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11D602FE"/>
    <w:multiLevelType w:val="hybridMultilevel"/>
    <w:tmpl w:val="DC206C14"/>
    <w:lvl w:ilvl="0" w:tplc="C17AFE1C">
      <w:start w:val="5"/>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120509F3"/>
    <w:multiLevelType w:val="hybridMultilevel"/>
    <w:tmpl w:val="D29E94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130A1F96"/>
    <w:multiLevelType w:val="hybridMultilevel"/>
    <w:tmpl w:val="E442384E"/>
    <w:lvl w:ilvl="0" w:tplc="27A8DA24">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13AF552C"/>
    <w:multiLevelType w:val="hybridMultilevel"/>
    <w:tmpl w:val="A9F2465E"/>
    <w:lvl w:ilvl="0" w:tplc="259066EE">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1420485D"/>
    <w:multiLevelType w:val="hybridMultilevel"/>
    <w:tmpl w:val="B372C6C4"/>
    <w:lvl w:ilvl="0" w:tplc="AB3C99C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142F110C"/>
    <w:multiLevelType w:val="hybridMultilevel"/>
    <w:tmpl w:val="D76492C0"/>
    <w:lvl w:ilvl="0" w:tplc="6F0C9852">
      <w:start w:val="4"/>
      <w:numFmt w:val="upperLetter"/>
      <w:lvlText w:val="%1)"/>
      <w:lvlJc w:val="left"/>
      <w:pPr>
        <w:ind w:left="990" w:hanging="360"/>
      </w:pPr>
      <w:rPr>
        <w:rFonts w:hint="default"/>
      </w:rPr>
    </w:lvl>
    <w:lvl w:ilvl="1" w:tplc="6B8C77C2">
      <w:start w:val="3"/>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14357B9D"/>
    <w:multiLevelType w:val="hybridMultilevel"/>
    <w:tmpl w:val="37C4CACC"/>
    <w:lvl w:ilvl="0" w:tplc="F272C87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143D216F"/>
    <w:multiLevelType w:val="hybridMultilevel"/>
    <w:tmpl w:val="B70E0176"/>
    <w:lvl w:ilvl="0" w:tplc="475ABFF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14733402"/>
    <w:multiLevelType w:val="hybridMultilevel"/>
    <w:tmpl w:val="EB641E48"/>
    <w:lvl w:ilvl="0" w:tplc="79D8BB5C">
      <w:start w:val="4"/>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149A0203"/>
    <w:multiLevelType w:val="hybridMultilevel"/>
    <w:tmpl w:val="CB9486D0"/>
    <w:lvl w:ilvl="0" w:tplc="AB22AE24">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14F1108C"/>
    <w:multiLevelType w:val="hybridMultilevel"/>
    <w:tmpl w:val="1EFAE43E"/>
    <w:lvl w:ilvl="0" w:tplc="F386F2C6">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156B63D4"/>
    <w:multiLevelType w:val="hybridMultilevel"/>
    <w:tmpl w:val="F64457BA"/>
    <w:lvl w:ilvl="0" w:tplc="6E66C9DA">
      <w:start w:val="5"/>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15DE28D2"/>
    <w:multiLevelType w:val="hybridMultilevel"/>
    <w:tmpl w:val="8856D40A"/>
    <w:lvl w:ilvl="0" w:tplc="101455D4">
      <w:start w:val="6"/>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16015633"/>
    <w:multiLevelType w:val="hybridMultilevel"/>
    <w:tmpl w:val="50148654"/>
    <w:lvl w:ilvl="0" w:tplc="78E672BC">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16612CAB"/>
    <w:multiLevelType w:val="hybridMultilevel"/>
    <w:tmpl w:val="D4185638"/>
    <w:lvl w:ilvl="0" w:tplc="D43EE510">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17110F9D"/>
    <w:multiLevelType w:val="hybridMultilevel"/>
    <w:tmpl w:val="7B9A2C74"/>
    <w:lvl w:ilvl="0" w:tplc="41AA78D6">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172F08DB"/>
    <w:multiLevelType w:val="hybridMultilevel"/>
    <w:tmpl w:val="743A3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9" w15:restartNumberingAfterBreak="0">
    <w:nsid w:val="17AF511A"/>
    <w:multiLevelType w:val="hybridMultilevel"/>
    <w:tmpl w:val="4886B572"/>
    <w:lvl w:ilvl="0" w:tplc="49968942">
      <w:start w:val="3"/>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0" w15:restartNumberingAfterBreak="0">
    <w:nsid w:val="17B823B7"/>
    <w:multiLevelType w:val="hybridMultilevel"/>
    <w:tmpl w:val="D5B4082A"/>
    <w:lvl w:ilvl="0" w:tplc="DAE2BFF2">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1864706A"/>
    <w:multiLevelType w:val="hybridMultilevel"/>
    <w:tmpl w:val="9FB44EBE"/>
    <w:lvl w:ilvl="0" w:tplc="2278C6B2">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189C57AC"/>
    <w:multiLevelType w:val="hybridMultilevel"/>
    <w:tmpl w:val="751C21DC"/>
    <w:lvl w:ilvl="0" w:tplc="801894BA">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18BA4A14"/>
    <w:multiLevelType w:val="hybridMultilevel"/>
    <w:tmpl w:val="48E04F6E"/>
    <w:lvl w:ilvl="0" w:tplc="2D6002C8">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191B5658"/>
    <w:multiLevelType w:val="hybridMultilevel"/>
    <w:tmpl w:val="8EA23E0C"/>
    <w:lvl w:ilvl="0" w:tplc="7CB0EE28">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19C72823"/>
    <w:multiLevelType w:val="hybridMultilevel"/>
    <w:tmpl w:val="F85EDABC"/>
    <w:lvl w:ilvl="0" w:tplc="4B822AB8">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15:restartNumberingAfterBreak="0">
    <w:nsid w:val="19D07427"/>
    <w:multiLevelType w:val="hybridMultilevel"/>
    <w:tmpl w:val="8228B3D2"/>
    <w:lvl w:ilvl="0" w:tplc="2E18B160">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7" w15:restartNumberingAfterBreak="0">
    <w:nsid w:val="19FB7999"/>
    <w:multiLevelType w:val="hybridMultilevel"/>
    <w:tmpl w:val="57FE467C"/>
    <w:lvl w:ilvl="0" w:tplc="1910EC2A">
      <w:start w:val="6"/>
      <w:numFmt w:val="upperLetter"/>
      <w:lvlText w:val="%1)"/>
      <w:lvlJc w:val="left"/>
      <w:pPr>
        <w:ind w:left="720" w:hanging="360"/>
      </w:pPr>
      <w:rPr>
        <w:rFonts w:hint="default"/>
      </w:rPr>
    </w:lvl>
    <w:lvl w:ilvl="1" w:tplc="FEF0010A">
      <w:start w:val="3"/>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8" w15:restartNumberingAfterBreak="0">
    <w:nsid w:val="1A171A4F"/>
    <w:multiLevelType w:val="hybridMultilevel"/>
    <w:tmpl w:val="C7E67608"/>
    <w:lvl w:ilvl="0" w:tplc="95C8C80A">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2520"/>
        </w:tabs>
        <w:ind w:left="2520" w:hanging="360"/>
      </w:pPr>
      <w:rPr>
        <w:rFonts w:ascii="Courier New" w:hAnsi="Courier New" w:cs="Arial"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Arial"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Arial"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69" w15:restartNumberingAfterBreak="0">
    <w:nsid w:val="1AAF52B1"/>
    <w:multiLevelType w:val="hybridMultilevel"/>
    <w:tmpl w:val="13DA02D0"/>
    <w:lvl w:ilvl="0" w:tplc="E28465FE">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0" w15:restartNumberingAfterBreak="0">
    <w:nsid w:val="1AE736C3"/>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1" w15:restartNumberingAfterBreak="0">
    <w:nsid w:val="1BB80BDB"/>
    <w:multiLevelType w:val="hybridMultilevel"/>
    <w:tmpl w:val="17625C1E"/>
    <w:lvl w:ilvl="0" w:tplc="0BEE2776">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2" w15:restartNumberingAfterBreak="0">
    <w:nsid w:val="1C191C54"/>
    <w:multiLevelType w:val="hybridMultilevel"/>
    <w:tmpl w:val="DCFAF882"/>
    <w:lvl w:ilvl="0" w:tplc="41F230CA">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3" w15:restartNumberingAfterBreak="0">
    <w:nsid w:val="1C8D108D"/>
    <w:multiLevelType w:val="hybridMultilevel"/>
    <w:tmpl w:val="4446B582"/>
    <w:lvl w:ilvl="0" w:tplc="EAEE4368">
      <w:start w:val="7"/>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4" w15:restartNumberingAfterBreak="0">
    <w:nsid w:val="1CA924F2"/>
    <w:multiLevelType w:val="hybridMultilevel"/>
    <w:tmpl w:val="468E2272"/>
    <w:lvl w:ilvl="0" w:tplc="3A425236">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5" w15:restartNumberingAfterBreak="0">
    <w:nsid w:val="1CBD47FD"/>
    <w:multiLevelType w:val="hybridMultilevel"/>
    <w:tmpl w:val="DCD8F3B4"/>
    <w:lvl w:ilvl="0" w:tplc="14BE0BD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6" w15:restartNumberingAfterBreak="0">
    <w:nsid w:val="1DD05CF9"/>
    <w:multiLevelType w:val="hybridMultilevel"/>
    <w:tmpl w:val="3DE4D702"/>
    <w:lvl w:ilvl="0" w:tplc="B784F380">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7" w15:restartNumberingAfterBreak="0">
    <w:nsid w:val="1E0C5E4C"/>
    <w:multiLevelType w:val="hybridMultilevel"/>
    <w:tmpl w:val="BB38F882"/>
    <w:lvl w:ilvl="0" w:tplc="7F6CCE0C">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8" w15:restartNumberingAfterBreak="0">
    <w:nsid w:val="1E555ADC"/>
    <w:multiLevelType w:val="hybridMultilevel"/>
    <w:tmpl w:val="0AD27E48"/>
    <w:lvl w:ilvl="0" w:tplc="3B14EF7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9" w15:restartNumberingAfterBreak="0">
    <w:nsid w:val="1EDA4900"/>
    <w:multiLevelType w:val="hybridMultilevel"/>
    <w:tmpl w:val="D916BE70"/>
    <w:lvl w:ilvl="0" w:tplc="74CE85C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F1F2E8D"/>
    <w:multiLevelType w:val="hybridMultilevel"/>
    <w:tmpl w:val="47C4970E"/>
    <w:lvl w:ilvl="0" w:tplc="B25AA64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1" w15:restartNumberingAfterBreak="0">
    <w:nsid w:val="1F583C0A"/>
    <w:multiLevelType w:val="hybridMultilevel"/>
    <w:tmpl w:val="2AE02124"/>
    <w:lvl w:ilvl="0" w:tplc="373E94C8">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2" w15:restartNumberingAfterBreak="0">
    <w:nsid w:val="1F5D72C3"/>
    <w:multiLevelType w:val="hybridMultilevel"/>
    <w:tmpl w:val="EE782A0C"/>
    <w:lvl w:ilvl="0" w:tplc="00BC9C28">
      <w:start w:val="6"/>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3" w15:restartNumberingAfterBreak="0">
    <w:nsid w:val="1FD61704"/>
    <w:multiLevelType w:val="hybridMultilevel"/>
    <w:tmpl w:val="3D36A92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4" w15:restartNumberingAfterBreak="0">
    <w:nsid w:val="1FEA1B81"/>
    <w:multiLevelType w:val="hybridMultilevel"/>
    <w:tmpl w:val="FC04AC8A"/>
    <w:lvl w:ilvl="0" w:tplc="E83A9C50">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5" w15:restartNumberingAfterBreak="0">
    <w:nsid w:val="20034D55"/>
    <w:multiLevelType w:val="hybridMultilevel"/>
    <w:tmpl w:val="FDC8A57A"/>
    <w:lvl w:ilvl="0" w:tplc="0C9E5B18">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6" w15:restartNumberingAfterBreak="0">
    <w:nsid w:val="200B107C"/>
    <w:multiLevelType w:val="hybridMultilevel"/>
    <w:tmpl w:val="1FB854D2"/>
    <w:lvl w:ilvl="0" w:tplc="18BC5626">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7" w15:restartNumberingAfterBreak="0">
    <w:nsid w:val="2039629E"/>
    <w:multiLevelType w:val="hybridMultilevel"/>
    <w:tmpl w:val="3E64F9BC"/>
    <w:lvl w:ilvl="0" w:tplc="15689BAA">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8" w15:restartNumberingAfterBreak="0">
    <w:nsid w:val="209E00FA"/>
    <w:multiLevelType w:val="hybridMultilevel"/>
    <w:tmpl w:val="60E840F8"/>
    <w:lvl w:ilvl="0" w:tplc="1BFAB820">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9" w15:restartNumberingAfterBreak="0">
    <w:nsid w:val="20C14118"/>
    <w:multiLevelType w:val="hybridMultilevel"/>
    <w:tmpl w:val="F87EAC86"/>
    <w:lvl w:ilvl="0" w:tplc="EC92365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0" w15:restartNumberingAfterBreak="0">
    <w:nsid w:val="20CF545F"/>
    <w:multiLevelType w:val="hybridMultilevel"/>
    <w:tmpl w:val="EBCED9A6"/>
    <w:lvl w:ilvl="0" w:tplc="0C846CEE">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1" w15:restartNumberingAfterBreak="0">
    <w:nsid w:val="20FF1D6A"/>
    <w:multiLevelType w:val="hybridMultilevel"/>
    <w:tmpl w:val="24A8A0B0"/>
    <w:lvl w:ilvl="0" w:tplc="6A9A247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2" w15:restartNumberingAfterBreak="0">
    <w:nsid w:val="213F29C3"/>
    <w:multiLevelType w:val="hybridMultilevel"/>
    <w:tmpl w:val="C4DCD1A8"/>
    <w:lvl w:ilvl="0" w:tplc="AA88C44C">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3" w15:restartNumberingAfterBreak="0">
    <w:nsid w:val="21574314"/>
    <w:multiLevelType w:val="hybridMultilevel"/>
    <w:tmpl w:val="48DA51FA"/>
    <w:lvl w:ilvl="0" w:tplc="0A86F6CA">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4" w15:restartNumberingAfterBreak="0">
    <w:nsid w:val="225C68E7"/>
    <w:multiLevelType w:val="hybridMultilevel"/>
    <w:tmpl w:val="659C934C"/>
    <w:lvl w:ilvl="0" w:tplc="A18A98FA">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5" w15:restartNumberingAfterBreak="0">
    <w:nsid w:val="22E73E40"/>
    <w:multiLevelType w:val="hybridMultilevel"/>
    <w:tmpl w:val="D31C51EA"/>
    <w:lvl w:ilvl="0" w:tplc="BA18D6F0">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6" w15:restartNumberingAfterBreak="0">
    <w:nsid w:val="230C4699"/>
    <w:multiLevelType w:val="hybridMultilevel"/>
    <w:tmpl w:val="421C953E"/>
    <w:lvl w:ilvl="0" w:tplc="398C21DC">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7" w15:restartNumberingAfterBreak="0">
    <w:nsid w:val="237A295B"/>
    <w:multiLevelType w:val="hybridMultilevel"/>
    <w:tmpl w:val="8AEC0E00"/>
    <w:lvl w:ilvl="0" w:tplc="659EE1C8">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8" w15:restartNumberingAfterBreak="0">
    <w:nsid w:val="237A4176"/>
    <w:multiLevelType w:val="hybridMultilevel"/>
    <w:tmpl w:val="2DB2959E"/>
    <w:lvl w:ilvl="0" w:tplc="08782964">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9" w15:restartNumberingAfterBreak="0">
    <w:nsid w:val="23924B3F"/>
    <w:multiLevelType w:val="hybridMultilevel"/>
    <w:tmpl w:val="C5AE2F44"/>
    <w:lvl w:ilvl="0" w:tplc="1EA03B9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0" w15:restartNumberingAfterBreak="0">
    <w:nsid w:val="239B30BE"/>
    <w:multiLevelType w:val="hybridMultilevel"/>
    <w:tmpl w:val="CBDC3CF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23E67268"/>
    <w:multiLevelType w:val="hybridMultilevel"/>
    <w:tmpl w:val="0226C5FE"/>
    <w:lvl w:ilvl="0" w:tplc="8AF09A24">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2" w15:restartNumberingAfterBreak="0">
    <w:nsid w:val="2481329B"/>
    <w:multiLevelType w:val="hybridMultilevel"/>
    <w:tmpl w:val="5C14064C"/>
    <w:lvl w:ilvl="0" w:tplc="F05CAD64">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3" w15:restartNumberingAfterBreak="0">
    <w:nsid w:val="2487772F"/>
    <w:multiLevelType w:val="hybridMultilevel"/>
    <w:tmpl w:val="1BF01BBE"/>
    <w:lvl w:ilvl="0" w:tplc="E1C86312">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4" w15:restartNumberingAfterBreak="0">
    <w:nsid w:val="24F339D2"/>
    <w:multiLevelType w:val="hybridMultilevel"/>
    <w:tmpl w:val="B66011F2"/>
    <w:lvl w:ilvl="0" w:tplc="9A5E770A">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5" w15:restartNumberingAfterBreak="0">
    <w:nsid w:val="24F33E38"/>
    <w:multiLevelType w:val="hybridMultilevel"/>
    <w:tmpl w:val="71EE1360"/>
    <w:lvl w:ilvl="0" w:tplc="415EFDB8">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6" w15:restartNumberingAfterBreak="0">
    <w:nsid w:val="251F57D3"/>
    <w:multiLevelType w:val="hybridMultilevel"/>
    <w:tmpl w:val="0AC0C126"/>
    <w:lvl w:ilvl="0" w:tplc="E81286A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7" w15:restartNumberingAfterBreak="0">
    <w:nsid w:val="253E78AC"/>
    <w:multiLevelType w:val="hybridMultilevel"/>
    <w:tmpl w:val="C2CC7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8" w15:restartNumberingAfterBreak="0">
    <w:nsid w:val="25404E91"/>
    <w:multiLevelType w:val="hybridMultilevel"/>
    <w:tmpl w:val="B52A85EA"/>
    <w:lvl w:ilvl="0" w:tplc="5F00EB4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9" w15:restartNumberingAfterBreak="0">
    <w:nsid w:val="26205F76"/>
    <w:multiLevelType w:val="hybridMultilevel"/>
    <w:tmpl w:val="106E9E50"/>
    <w:lvl w:ilvl="0" w:tplc="642432C0">
      <w:start w:val="5"/>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0" w15:restartNumberingAfterBreak="0">
    <w:nsid w:val="270D675A"/>
    <w:multiLevelType w:val="hybridMultilevel"/>
    <w:tmpl w:val="72A004D6"/>
    <w:lvl w:ilvl="0" w:tplc="CC50D7FA">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1" w15:restartNumberingAfterBreak="0">
    <w:nsid w:val="27214ABE"/>
    <w:multiLevelType w:val="hybridMultilevel"/>
    <w:tmpl w:val="AC6E7382"/>
    <w:lvl w:ilvl="0" w:tplc="FDE498A4">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2" w15:restartNumberingAfterBreak="0">
    <w:nsid w:val="27536501"/>
    <w:multiLevelType w:val="hybridMultilevel"/>
    <w:tmpl w:val="216440BC"/>
    <w:lvl w:ilvl="0" w:tplc="0608CC1E">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3" w15:restartNumberingAfterBreak="0">
    <w:nsid w:val="281E51B6"/>
    <w:multiLevelType w:val="hybridMultilevel"/>
    <w:tmpl w:val="F3826446"/>
    <w:lvl w:ilvl="0" w:tplc="909C4CE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4" w15:restartNumberingAfterBreak="0">
    <w:nsid w:val="28DC38BD"/>
    <w:multiLevelType w:val="hybridMultilevel"/>
    <w:tmpl w:val="BAC0FE24"/>
    <w:lvl w:ilvl="0" w:tplc="75BAF534">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5" w15:restartNumberingAfterBreak="0">
    <w:nsid w:val="29264330"/>
    <w:multiLevelType w:val="hybridMultilevel"/>
    <w:tmpl w:val="AC84D710"/>
    <w:lvl w:ilvl="0" w:tplc="ED161894">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6" w15:restartNumberingAfterBreak="0">
    <w:nsid w:val="292E796A"/>
    <w:multiLevelType w:val="hybridMultilevel"/>
    <w:tmpl w:val="4286821A"/>
    <w:lvl w:ilvl="0" w:tplc="B2F6002C">
      <w:start w:val="1"/>
      <w:numFmt w:val="upperLetter"/>
      <w:lvlText w:val="%1)"/>
      <w:lvlJc w:val="left"/>
      <w:pPr>
        <w:ind w:left="720" w:hanging="360"/>
      </w:pPr>
      <w:rPr>
        <w:rFonts w:hint="default"/>
      </w:rPr>
    </w:lvl>
    <w:lvl w:ilvl="1" w:tplc="9E443114">
      <w:start w:val="3"/>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7" w15:restartNumberingAfterBreak="0">
    <w:nsid w:val="29F43B79"/>
    <w:multiLevelType w:val="hybridMultilevel"/>
    <w:tmpl w:val="4A80958C"/>
    <w:lvl w:ilvl="0" w:tplc="093E0850">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8" w15:restartNumberingAfterBreak="0">
    <w:nsid w:val="2A000C93"/>
    <w:multiLevelType w:val="hybridMultilevel"/>
    <w:tmpl w:val="38C2E060"/>
    <w:lvl w:ilvl="0" w:tplc="6B9A7D0A">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9" w15:restartNumberingAfterBreak="0">
    <w:nsid w:val="2A0C36FF"/>
    <w:multiLevelType w:val="hybridMultilevel"/>
    <w:tmpl w:val="174E5BBE"/>
    <w:lvl w:ilvl="0" w:tplc="38CEC7B8">
      <w:start w:val="7"/>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0" w15:restartNumberingAfterBreak="0">
    <w:nsid w:val="2AB63717"/>
    <w:multiLevelType w:val="hybridMultilevel"/>
    <w:tmpl w:val="60F4DF0A"/>
    <w:lvl w:ilvl="0" w:tplc="451EF478">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1" w15:restartNumberingAfterBreak="0">
    <w:nsid w:val="2ABA693A"/>
    <w:multiLevelType w:val="hybridMultilevel"/>
    <w:tmpl w:val="5DF86650"/>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732" w:hanging="360"/>
      </w:pPr>
      <w:rPr>
        <w:rFonts w:ascii="Symbol" w:hAnsi="Symbol" w:hint="default"/>
      </w:rPr>
    </w:lvl>
    <w:lvl w:ilvl="2" w:tplc="0C0C0003">
      <w:start w:val="1"/>
      <w:numFmt w:val="bullet"/>
      <w:lvlText w:val="o"/>
      <w:lvlJc w:val="left"/>
      <w:pPr>
        <w:ind w:left="1452" w:hanging="360"/>
      </w:pPr>
      <w:rPr>
        <w:rFonts w:ascii="Courier New" w:hAnsi="Courier New" w:cs="Courier New" w:hint="default"/>
      </w:rPr>
    </w:lvl>
    <w:lvl w:ilvl="3" w:tplc="0C0C0001" w:tentative="1">
      <w:start w:val="1"/>
      <w:numFmt w:val="bullet"/>
      <w:lvlText w:val=""/>
      <w:lvlJc w:val="left"/>
      <w:pPr>
        <w:ind w:left="2172" w:hanging="360"/>
      </w:pPr>
      <w:rPr>
        <w:rFonts w:ascii="Symbol" w:hAnsi="Symbol" w:hint="default"/>
      </w:rPr>
    </w:lvl>
    <w:lvl w:ilvl="4" w:tplc="0C0C0003" w:tentative="1">
      <w:start w:val="1"/>
      <w:numFmt w:val="bullet"/>
      <w:lvlText w:val="o"/>
      <w:lvlJc w:val="left"/>
      <w:pPr>
        <w:ind w:left="2892" w:hanging="360"/>
      </w:pPr>
      <w:rPr>
        <w:rFonts w:ascii="Courier New" w:hAnsi="Courier New" w:cs="Courier New" w:hint="default"/>
      </w:rPr>
    </w:lvl>
    <w:lvl w:ilvl="5" w:tplc="0C0C0005" w:tentative="1">
      <w:start w:val="1"/>
      <w:numFmt w:val="bullet"/>
      <w:lvlText w:val=""/>
      <w:lvlJc w:val="left"/>
      <w:pPr>
        <w:ind w:left="3612" w:hanging="360"/>
      </w:pPr>
      <w:rPr>
        <w:rFonts w:ascii="Wingdings" w:hAnsi="Wingdings" w:hint="default"/>
      </w:rPr>
    </w:lvl>
    <w:lvl w:ilvl="6" w:tplc="0C0C0001" w:tentative="1">
      <w:start w:val="1"/>
      <w:numFmt w:val="bullet"/>
      <w:lvlText w:val=""/>
      <w:lvlJc w:val="left"/>
      <w:pPr>
        <w:ind w:left="4332" w:hanging="360"/>
      </w:pPr>
      <w:rPr>
        <w:rFonts w:ascii="Symbol" w:hAnsi="Symbol" w:hint="default"/>
      </w:rPr>
    </w:lvl>
    <w:lvl w:ilvl="7" w:tplc="0C0C0003" w:tentative="1">
      <w:start w:val="1"/>
      <w:numFmt w:val="bullet"/>
      <w:lvlText w:val="o"/>
      <w:lvlJc w:val="left"/>
      <w:pPr>
        <w:ind w:left="5052" w:hanging="360"/>
      </w:pPr>
      <w:rPr>
        <w:rFonts w:ascii="Courier New" w:hAnsi="Courier New" w:cs="Courier New" w:hint="default"/>
      </w:rPr>
    </w:lvl>
    <w:lvl w:ilvl="8" w:tplc="0C0C0005" w:tentative="1">
      <w:start w:val="1"/>
      <w:numFmt w:val="bullet"/>
      <w:lvlText w:val=""/>
      <w:lvlJc w:val="left"/>
      <w:pPr>
        <w:ind w:left="5772" w:hanging="360"/>
      </w:pPr>
      <w:rPr>
        <w:rFonts w:ascii="Wingdings" w:hAnsi="Wingdings" w:hint="default"/>
      </w:rPr>
    </w:lvl>
  </w:abstractNum>
  <w:abstractNum w:abstractNumId="122" w15:restartNumberingAfterBreak="0">
    <w:nsid w:val="2AEF5C92"/>
    <w:multiLevelType w:val="hybridMultilevel"/>
    <w:tmpl w:val="4B78A270"/>
    <w:lvl w:ilvl="0" w:tplc="7A24412A">
      <w:start w:val="10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3" w15:restartNumberingAfterBreak="0">
    <w:nsid w:val="2B156F8B"/>
    <w:multiLevelType w:val="hybridMultilevel"/>
    <w:tmpl w:val="DE18E57C"/>
    <w:lvl w:ilvl="0" w:tplc="1D2C96B6">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4" w15:restartNumberingAfterBreak="0">
    <w:nsid w:val="2BC71B48"/>
    <w:multiLevelType w:val="hybridMultilevel"/>
    <w:tmpl w:val="99A6EDE0"/>
    <w:lvl w:ilvl="0" w:tplc="B2F6002C">
      <w:start w:val="1"/>
      <w:numFmt w:val="upperLetter"/>
      <w:lvlText w:val="%1)"/>
      <w:lvlJc w:val="left"/>
      <w:pPr>
        <w:ind w:left="720" w:hanging="360"/>
      </w:pPr>
      <w:rPr>
        <w:rFonts w:hint="default"/>
      </w:rPr>
    </w:lvl>
    <w:lvl w:ilvl="1" w:tplc="9CC0DD98">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5" w15:restartNumberingAfterBreak="0">
    <w:nsid w:val="2C2417B9"/>
    <w:multiLevelType w:val="hybridMultilevel"/>
    <w:tmpl w:val="95F212B0"/>
    <w:lvl w:ilvl="0" w:tplc="9432C74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6" w15:restartNumberingAfterBreak="0">
    <w:nsid w:val="2C41707B"/>
    <w:multiLevelType w:val="hybridMultilevel"/>
    <w:tmpl w:val="17FA25FA"/>
    <w:lvl w:ilvl="0" w:tplc="46664D34">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7" w15:restartNumberingAfterBreak="0">
    <w:nsid w:val="2C6F68A1"/>
    <w:multiLevelType w:val="hybridMultilevel"/>
    <w:tmpl w:val="8C44AC64"/>
    <w:lvl w:ilvl="0" w:tplc="60E25C38">
      <w:start w:val="7"/>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8" w15:restartNumberingAfterBreak="0">
    <w:nsid w:val="2C946FBF"/>
    <w:multiLevelType w:val="hybridMultilevel"/>
    <w:tmpl w:val="76225288"/>
    <w:lvl w:ilvl="0" w:tplc="2A56A17A">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9" w15:restartNumberingAfterBreak="0">
    <w:nsid w:val="2CA5729E"/>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0" w15:restartNumberingAfterBreak="0">
    <w:nsid w:val="2CB270BE"/>
    <w:multiLevelType w:val="hybridMultilevel"/>
    <w:tmpl w:val="D5943D8A"/>
    <w:lvl w:ilvl="0" w:tplc="5594A354">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1" w15:restartNumberingAfterBreak="0">
    <w:nsid w:val="2D205EB2"/>
    <w:multiLevelType w:val="hybridMultilevel"/>
    <w:tmpl w:val="5BE84A1E"/>
    <w:lvl w:ilvl="0" w:tplc="DC7AF17A">
      <w:start w:val="5"/>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2" w15:restartNumberingAfterBreak="0">
    <w:nsid w:val="2D4C7157"/>
    <w:multiLevelType w:val="hybridMultilevel"/>
    <w:tmpl w:val="B09A8176"/>
    <w:lvl w:ilvl="0" w:tplc="7F648B38">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3" w15:restartNumberingAfterBreak="0">
    <w:nsid w:val="2D9E4A7F"/>
    <w:multiLevelType w:val="hybridMultilevel"/>
    <w:tmpl w:val="56CC2D54"/>
    <w:lvl w:ilvl="0" w:tplc="4CB056A4">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4" w15:restartNumberingAfterBreak="0">
    <w:nsid w:val="2DB40FF8"/>
    <w:multiLevelType w:val="hybridMultilevel"/>
    <w:tmpl w:val="7BA0383A"/>
    <w:lvl w:ilvl="0" w:tplc="EAA66FE6">
      <w:start w:val="5"/>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5" w15:restartNumberingAfterBreak="0">
    <w:nsid w:val="2DC35225"/>
    <w:multiLevelType w:val="hybridMultilevel"/>
    <w:tmpl w:val="30DCEAA2"/>
    <w:lvl w:ilvl="0" w:tplc="37DC7860">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6" w15:restartNumberingAfterBreak="0">
    <w:nsid w:val="2DDD297C"/>
    <w:multiLevelType w:val="hybridMultilevel"/>
    <w:tmpl w:val="78F252B0"/>
    <w:lvl w:ilvl="0" w:tplc="670EF50C">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7" w15:restartNumberingAfterBreak="0">
    <w:nsid w:val="2DE85C2C"/>
    <w:multiLevelType w:val="hybridMultilevel"/>
    <w:tmpl w:val="EAE4C0F2"/>
    <w:lvl w:ilvl="0" w:tplc="E1620D9E">
      <w:start w:val="1"/>
      <w:numFmt w:val="decimal"/>
      <w:pStyle w:val="Titre2"/>
      <w:lvlText w:val="%1."/>
      <w:lvlJc w:val="left"/>
      <w:pPr>
        <w:ind w:left="99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8" w15:restartNumberingAfterBreak="0">
    <w:nsid w:val="2DEC6C09"/>
    <w:multiLevelType w:val="hybridMultilevel"/>
    <w:tmpl w:val="D2E082FA"/>
    <w:lvl w:ilvl="0" w:tplc="80B28DBE">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9" w15:restartNumberingAfterBreak="0">
    <w:nsid w:val="2ECB55B6"/>
    <w:multiLevelType w:val="hybridMultilevel"/>
    <w:tmpl w:val="F8267B5E"/>
    <w:lvl w:ilvl="0" w:tplc="6D9C7642">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0" w15:restartNumberingAfterBreak="0">
    <w:nsid w:val="2ED15231"/>
    <w:multiLevelType w:val="hybridMultilevel"/>
    <w:tmpl w:val="D5B40862"/>
    <w:lvl w:ilvl="0" w:tplc="F25C4BDA">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1" w15:restartNumberingAfterBreak="0">
    <w:nsid w:val="2F6D1AFB"/>
    <w:multiLevelType w:val="hybridMultilevel"/>
    <w:tmpl w:val="AD80765E"/>
    <w:lvl w:ilvl="0" w:tplc="7200CB8C">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2" w15:restartNumberingAfterBreak="0">
    <w:nsid w:val="30893CA1"/>
    <w:multiLevelType w:val="hybridMultilevel"/>
    <w:tmpl w:val="64C07E78"/>
    <w:lvl w:ilvl="0" w:tplc="6024C620">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3" w15:restartNumberingAfterBreak="0">
    <w:nsid w:val="30F56908"/>
    <w:multiLevelType w:val="hybridMultilevel"/>
    <w:tmpl w:val="5C6058BA"/>
    <w:lvl w:ilvl="0" w:tplc="88746B0E">
      <w:start w:val="4"/>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4" w15:restartNumberingAfterBreak="0">
    <w:nsid w:val="314B52AD"/>
    <w:multiLevelType w:val="hybridMultilevel"/>
    <w:tmpl w:val="E5E8B0B6"/>
    <w:lvl w:ilvl="0" w:tplc="E04ED5CA">
      <w:start w:val="6"/>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5" w15:restartNumberingAfterBreak="0">
    <w:nsid w:val="31C176E2"/>
    <w:multiLevelType w:val="hybridMultilevel"/>
    <w:tmpl w:val="3E607366"/>
    <w:lvl w:ilvl="0" w:tplc="D0CCC306">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6" w15:restartNumberingAfterBreak="0">
    <w:nsid w:val="31E02DDB"/>
    <w:multiLevelType w:val="hybridMultilevel"/>
    <w:tmpl w:val="980CA790"/>
    <w:lvl w:ilvl="0" w:tplc="1A7A0EA6">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7" w15:restartNumberingAfterBreak="0">
    <w:nsid w:val="329C5463"/>
    <w:multiLevelType w:val="hybridMultilevel"/>
    <w:tmpl w:val="30F8E570"/>
    <w:lvl w:ilvl="0" w:tplc="1276B54A">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8" w15:restartNumberingAfterBreak="0">
    <w:nsid w:val="33087C97"/>
    <w:multiLevelType w:val="hybridMultilevel"/>
    <w:tmpl w:val="F7A87A72"/>
    <w:lvl w:ilvl="0" w:tplc="FC562456">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9" w15:restartNumberingAfterBreak="0">
    <w:nsid w:val="336D0BE9"/>
    <w:multiLevelType w:val="hybridMultilevel"/>
    <w:tmpl w:val="4AC01016"/>
    <w:lvl w:ilvl="0" w:tplc="3AC87E50">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0" w15:restartNumberingAfterBreak="0">
    <w:nsid w:val="348B008C"/>
    <w:multiLevelType w:val="hybridMultilevel"/>
    <w:tmpl w:val="6A4EA14A"/>
    <w:lvl w:ilvl="0" w:tplc="D92CF1AE">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1" w15:restartNumberingAfterBreak="0">
    <w:nsid w:val="34AF5A1E"/>
    <w:multiLevelType w:val="hybridMultilevel"/>
    <w:tmpl w:val="12A6DD36"/>
    <w:lvl w:ilvl="0" w:tplc="D27A2420">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2" w15:restartNumberingAfterBreak="0">
    <w:nsid w:val="34D7641C"/>
    <w:multiLevelType w:val="hybridMultilevel"/>
    <w:tmpl w:val="856C1478"/>
    <w:lvl w:ilvl="0" w:tplc="AE2ECF1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3" w15:restartNumberingAfterBreak="0">
    <w:nsid w:val="350A759B"/>
    <w:multiLevelType w:val="hybridMultilevel"/>
    <w:tmpl w:val="28720D06"/>
    <w:lvl w:ilvl="0" w:tplc="A85EA57E">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4" w15:restartNumberingAfterBreak="0">
    <w:nsid w:val="353D14E7"/>
    <w:multiLevelType w:val="hybridMultilevel"/>
    <w:tmpl w:val="15B401AC"/>
    <w:lvl w:ilvl="0" w:tplc="770EE4B4">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5" w15:restartNumberingAfterBreak="0">
    <w:nsid w:val="358C0335"/>
    <w:multiLevelType w:val="hybridMultilevel"/>
    <w:tmpl w:val="5DFE5BBA"/>
    <w:lvl w:ilvl="0" w:tplc="14BE3D84">
      <w:start w:val="5"/>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6" w15:restartNumberingAfterBreak="0">
    <w:nsid w:val="35972D3D"/>
    <w:multiLevelType w:val="hybridMultilevel"/>
    <w:tmpl w:val="73367DD6"/>
    <w:lvl w:ilvl="0" w:tplc="5D723646">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7" w15:restartNumberingAfterBreak="0">
    <w:nsid w:val="364A6C14"/>
    <w:multiLevelType w:val="hybridMultilevel"/>
    <w:tmpl w:val="EEDABD16"/>
    <w:lvl w:ilvl="0" w:tplc="B5B45514">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8" w15:restartNumberingAfterBreak="0">
    <w:nsid w:val="36715970"/>
    <w:multiLevelType w:val="hybridMultilevel"/>
    <w:tmpl w:val="AAFC2500"/>
    <w:lvl w:ilvl="0" w:tplc="7228D1E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9" w15:restartNumberingAfterBreak="0">
    <w:nsid w:val="367730A7"/>
    <w:multiLevelType w:val="hybridMultilevel"/>
    <w:tmpl w:val="6838BB42"/>
    <w:lvl w:ilvl="0" w:tplc="B3C2A146">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0" w15:restartNumberingAfterBreak="0">
    <w:nsid w:val="36A04A7E"/>
    <w:multiLevelType w:val="hybridMultilevel"/>
    <w:tmpl w:val="0A0CCEE4"/>
    <w:lvl w:ilvl="0" w:tplc="D736ACD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1" w15:restartNumberingAfterBreak="0">
    <w:nsid w:val="374A5DDA"/>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2" w15:restartNumberingAfterBreak="0">
    <w:nsid w:val="38234A64"/>
    <w:multiLevelType w:val="hybridMultilevel"/>
    <w:tmpl w:val="AA7AB6E4"/>
    <w:lvl w:ilvl="0" w:tplc="6E96F7DC">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3" w15:restartNumberingAfterBreak="0">
    <w:nsid w:val="38305050"/>
    <w:multiLevelType w:val="hybridMultilevel"/>
    <w:tmpl w:val="B3122A68"/>
    <w:lvl w:ilvl="0" w:tplc="8058235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4" w15:restartNumberingAfterBreak="0">
    <w:nsid w:val="3841564C"/>
    <w:multiLevelType w:val="hybridMultilevel"/>
    <w:tmpl w:val="DFD8196C"/>
    <w:lvl w:ilvl="0" w:tplc="EF5C65B0">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5" w15:restartNumberingAfterBreak="0">
    <w:nsid w:val="38462651"/>
    <w:multiLevelType w:val="hybridMultilevel"/>
    <w:tmpl w:val="76E0F884"/>
    <w:lvl w:ilvl="0" w:tplc="41246014">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6" w15:restartNumberingAfterBreak="0">
    <w:nsid w:val="38D165F3"/>
    <w:multiLevelType w:val="hybridMultilevel"/>
    <w:tmpl w:val="CC34838E"/>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7" w15:restartNumberingAfterBreak="0">
    <w:nsid w:val="397B6CE9"/>
    <w:multiLevelType w:val="hybridMultilevel"/>
    <w:tmpl w:val="FCA6FA32"/>
    <w:lvl w:ilvl="0" w:tplc="A8AE92CE">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8" w15:restartNumberingAfterBreak="0">
    <w:nsid w:val="39867E41"/>
    <w:multiLevelType w:val="hybridMultilevel"/>
    <w:tmpl w:val="B91AAAB0"/>
    <w:lvl w:ilvl="0" w:tplc="B51EC476">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9" w15:restartNumberingAfterBreak="0">
    <w:nsid w:val="398E3FB3"/>
    <w:multiLevelType w:val="hybridMultilevel"/>
    <w:tmpl w:val="0FD82B0A"/>
    <w:lvl w:ilvl="0" w:tplc="ED9E5F1E">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0" w15:restartNumberingAfterBreak="0">
    <w:nsid w:val="399C627F"/>
    <w:multiLevelType w:val="hybridMultilevel"/>
    <w:tmpl w:val="E4066B52"/>
    <w:lvl w:ilvl="0" w:tplc="E3FCF26A">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1" w15:restartNumberingAfterBreak="0">
    <w:nsid w:val="3A5460EE"/>
    <w:multiLevelType w:val="hybridMultilevel"/>
    <w:tmpl w:val="A7A025DC"/>
    <w:lvl w:ilvl="0" w:tplc="464ADF2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2" w15:restartNumberingAfterBreak="0">
    <w:nsid w:val="3A604716"/>
    <w:multiLevelType w:val="hybridMultilevel"/>
    <w:tmpl w:val="019629B6"/>
    <w:lvl w:ilvl="0" w:tplc="8B664B7E">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3" w15:restartNumberingAfterBreak="0">
    <w:nsid w:val="3A7F5D11"/>
    <w:multiLevelType w:val="hybridMultilevel"/>
    <w:tmpl w:val="2A9E5614"/>
    <w:lvl w:ilvl="0" w:tplc="65888B90">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4" w15:restartNumberingAfterBreak="0">
    <w:nsid w:val="3B600B38"/>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5" w15:restartNumberingAfterBreak="0">
    <w:nsid w:val="3B7D7BEE"/>
    <w:multiLevelType w:val="hybridMultilevel"/>
    <w:tmpl w:val="66F68B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6" w15:restartNumberingAfterBreak="0">
    <w:nsid w:val="3BA15907"/>
    <w:multiLevelType w:val="hybridMultilevel"/>
    <w:tmpl w:val="4732BBB2"/>
    <w:lvl w:ilvl="0" w:tplc="2CC02888">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7" w15:restartNumberingAfterBreak="0">
    <w:nsid w:val="3BF56A18"/>
    <w:multiLevelType w:val="hybridMultilevel"/>
    <w:tmpl w:val="B6B60878"/>
    <w:lvl w:ilvl="0" w:tplc="AC76D08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8" w15:restartNumberingAfterBreak="0">
    <w:nsid w:val="3C0F4BD0"/>
    <w:multiLevelType w:val="hybridMultilevel"/>
    <w:tmpl w:val="9428470E"/>
    <w:lvl w:ilvl="0" w:tplc="C8F2A02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9" w15:restartNumberingAfterBreak="0">
    <w:nsid w:val="3CB93B80"/>
    <w:multiLevelType w:val="hybridMultilevel"/>
    <w:tmpl w:val="7A7A02C6"/>
    <w:lvl w:ilvl="0" w:tplc="5AEA5E84">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0" w15:restartNumberingAfterBreak="0">
    <w:nsid w:val="3D274E0B"/>
    <w:multiLevelType w:val="hybridMultilevel"/>
    <w:tmpl w:val="67C804D4"/>
    <w:lvl w:ilvl="0" w:tplc="695A07EE">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1" w15:restartNumberingAfterBreak="0">
    <w:nsid w:val="3DE70D4F"/>
    <w:multiLevelType w:val="hybridMultilevel"/>
    <w:tmpl w:val="9F08989C"/>
    <w:lvl w:ilvl="0" w:tplc="73284D6C">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2" w15:restartNumberingAfterBreak="0">
    <w:nsid w:val="3E173193"/>
    <w:multiLevelType w:val="hybridMultilevel"/>
    <w:tmpl w:val="29D2D1F8"/>
    <w:lvl w:ilvl="0" w:tplc="BEF8E77E">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3" w15:restartNumberingAfterBreak="0">
    <w:nsid w:val="3E494728"/>
    <w:multiLevelType w:val="hybridMultilevel"/>
    <w:tmpl w:val="FB42AB70"/>
    <w:lvl w:ilvl="0" w:tplc="B6DEFFA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4" w15:restartNumberingAfterBreak="0">
    <w:nsid w:val="3E5F738B"/>
    <w:multiLevelType w:val="hybridMultilevel"/>
    <w:tmpl w:val="D8048D20"/>
    <w:lvl w:ilvl="0" w:tplc="DE669A72">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5" w15:restartNumberingAfterBreak="0">
    <w:nsid w:val="3ED53300"/>
    <w:multiLevelType w:val="hybridMultilevel"/>
    <w:tmpl w:val="8D187A5C"/>
    <w:lvl w:ilvl="0" w:tplc="7A0EE5FC">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6" w15:restartNumberingAfterBreak="0">
    <w:nsid w:val="3F7E0F1D"/>
    <w:multiLevelType w:val="hybridMultilevel"/>
    <w:tmpl w:val="F7948ED0"/>
    <w:lvl w:ilvl="0" w:tplc="0AE43876">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7" w15:restartNumberingAfterBreak="0">
    <w:nsid w:val="3F973A37"/>
    <w:multiLevelType w:val="hybridMultilevel"/>
    <w:tmpl w:val="0C545568"/>
    <w:lvl w:ilvl="0" w:tplc="992472BE">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8" w15:restartNumberingAfterBreak="0">
    <w:nsid w:val="3FC5189D"/>
    <w:multiLevelType w:val="hybridMultilevel"/>
    <w:tmpl w:val="003AFE58"/>
    <w:lvl w:ilvl="0" w:tplc="EB9E9AF6">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9" w15:restartNumberingAfterBreak="0">
    <w:nsid w:val="3FCB1582"/>
    <w:multiLevelType w:val="hybridMultilevel"/>
    <w:tmpl w:val="9E1AF6F6"/>
    <w:lvl w:ilvl="0" w:tplc="7212B14E">
      <w:start w:val="6"/>
      <w:numFmt w:val="upperLetter"/>
      <w:lvlText w:val="%1)"/>
      <w:lvlJc w:val="left"/>
      <w:pPr>
        <w:ind w:left="99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0" w15:restartNumberingAfterBreak="0">
    <w:nsid w:val="3FD4747B"/>
    <w:multiLevelType w:val="hybridMultilevel"/>
    <w:tmpl w:val="A2DC44B6"/>
    <w:lvl w:ilvl="0" w:tplc="73EA7BE4">
      <w:start w:val="6"/>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1" w15:restartNumberingAfterBreak="0">
    <w:nsid w:val="400C3ACD"/>
    <w:multiLevelType w:val="hybridMultilevel"/>
    <w:tmpl w:val="4D5E9CDE"/>
    <w:lvl w:ilvl="0" w:tplc="770ECB8A">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2" w15:restartNumberingAfterBreak="0">
    <w:nsid w:val="409E211F"/>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3" w15:restartNumberingAfterBreak="0">
    <w:nsid w:val="40F23B9A"/>
    <w:multiLevelType w:val="hybridMultilevel"/>
    <w:tmpl w:val="60784338"/>
    <w:lvl w:ilvl="0" w:tplc="ECC873BC">
      <w:start w:val="3"/>
      <w:numFmt w:val="lowerLetter"/>
      <w:lvlText w:val="%1."/>
      <w:lvlJc w:val="left"/>
      <w:pPr>
        <w:ind w:left="144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4" w15:restartNumberingAfterBreak="0">
    <w:nsid w:val="41051712"/>
    <w:multiLevelType w:val="hybridMultilevel"/>
    <w:tmpl w:val="8F8C6368"/>
    <w:lvl w:ilvl="0" w:tplc="F7484F32">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5" w15:restartNumberingAfterBreak="0">
    <w:nsid w:val="41051A93"/>
    <w:multiLevelType w:val="hybridMultilevel"/>
    <w:tmpl w:val="23361B10"/>
    <w:lvl w:ilvl="0" w:tplc="944A5FD2">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6" w15:restartNumberingAfterBreak="0">
    <w:nsid w:val="41407CA4"/>
    <w:multiLevelType w:val="hybridMultilevel"/>
    <w:tmpl w:val="F00210B8"/>
    <w:lvl w:ilvl="0" w:tplc="7B6C806E">
      <w:start w:val="5"/>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7" w15:restartNumberingAfterBreak="0">
    <w:nsid w:val="41841589"/>
    <w:multiLevelType w:val="hybridMultilevel"/>
    <w:tmpl w:val="A0CC33D4"/>
    <w:lvl w:ilvl="0" w:tplc="E6784DA0">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8" w15:restartNumberingAfterBreak="0">
    <w:nsid w:val="41BB51E5"/>
    <w:multiLevelType w:val="hybridMultilevel"/>
    <w:tmpl w:val="7A687226"/>
    <w:lvl w:ilvl="0" w:tplc="5FDCE7AE">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9" w15:restartNumberingAfterBreak="0">
    <w:nsid w:val="41FB7992"/>
    <w:multiLevelType w:val="hybridMultilevel"/>
    <w:tmpl w:val="696A7FC0"/>
    <w:lvl w:ilvl="0" w:tplc="D542DA34">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0" w15:restartNumberingAfterBreak="0">
    <w:nsid w:val="421D0B33"/>
    <w:multiLevelType w:val="hybridMultilevel"/>
    <w:tmpl w:val="86A28B2A"/>
    <w:lvl w:ilvl="0" w:tplc="57629F6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1" w15:restartNumberingAfterBreak="0">
    <w:nsid w:val="422E2E8B"/>
    <w:multiLevelType w:val="hybridMultilevel"/>
    <w:tmpl w:val="B9546A32"/>
    <w:lvl w:ilvl="0" w:tplc="A866FA8C">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2" w15:restartNumberingAfterBreak="0">
    <w:nsid w:val="42AF6EE6"/>
    <w:multiLevelType w:val="hybridMultilevel"/>
    <w:tmpl w:val="888E1F98"/>
    <w:lvl w:ilvl="0" w:tplc="7A382818">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3" w15:restartNumberingAfterBreak="0">
    <w:nsid w:val="433A4B69"/>
    <w:multiLevelType w:val="hybridMultilevel"/>
    <w:tmpl w:val="7AEE72BA"/>
    <w:lvl w:ilvl="0" w:tplc="2DDEF884">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4" w15:restartNumberingAfterBreak="0">
    <w:nsid w:val="4362491E"/>
    <w:multiLevelType w:val="hybridMultilevel"/>
    <w:tmpl w:val="89A032E0"/>
    <w:lvl w:ilvl="0" w:tplc="62F60BC2">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5" w15:restartNumberingAfterBreak="0">
    <w:nsid w:val="43C35FAA"/>
    <w:multiLevelType w:val="hybridMultilevel"/>
    <w:tmpl w:val="BE3CA74C"/>
    <w:lvl w:ilvl="0" w:tplc="C34A8286">
      <w:start w:val="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6" w15:restartNumberingAfterBreak="0">
    <w:nsid w:val="447A4FC8"/>
    <w:multiLevelType w:val="hybridMultilevel"/>
    <w:tmpl w:val="C17082E8"/>
    <w:lvl w:ilvl="0" w:tplc="17C2ED2E">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7" w15:restartNumberingAfterBreak="0">
    <w:nsid w:val="449F5D00"/>
    <w:multiLevelType w:val="hybridMultilevel"/>
    <w:tmpl w:val="4CE0AF30"/>
    <w:lvl w:ilvl="0" w:tplc="8A485DB0">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8" w15:restartNumberingAfterBreak="0">
    <w:nsid w:val="44A237FB"/>
    <w:multiLevelType w:val="hybridMultilevel"/>
    <w:tmpl w:val="CD7464B4"/>
    <w:lvl w:ilvl="0" w:tplc="DAE06A0A">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9" w15:restartNumberingAfterBreak="0">
    <w:nsid w:val="44FC492F"/>
    <w:multiLevelType w:val="hybridMultilevel"/>
    <w:tmpl w:val="97169DF8"/>
    <w:lvl w:ilvl="0" w:tplc="9AE2403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0" w15:restartNumberingAfterBreak="0">
    <w:nsid w:val="456F6CCF"/>
    <w:multiLevelType w:val="hybridMultilevel"/>
    <w:tmpl w:val="2CE0F49A"/>
    <w:lvl w:ilvl="0" w:tplc="639E2144">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1" w15:restartNumberingAfterBreak="0">
    <w:nsid w:val="457C70AC"/>
    <w:multiLevelType w:val="hybridMultilevel"/>
    <w:tmpl w:val="89669D72"/>
    <w:lvl w:ilvl="0" w:tplc="930A67E8">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2" w15:restartNumberingAfterBreak="0">
    <w:nsid w:val="45F5062D"/>
    <w:multiLevelType w:val="hybridMultilevel"/>
    <w:tmpl w:val="23F25E22"/>
    <w:lvl w:ilvl="0" w:tplc="0C243996">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3" w15:restartNumberingAfterBreak="0">
    <w:nsid w:val="46531BA8"/>
    <w:multiLevelType w:val="hybridMultilevel"/>
    <w:tmpl w:val="60287B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4" w15:restartNumberingAfterBreak="0">
    <w:nsid w:val="46557CB2"/>
    <w:multiLevelType w:val="hybridMultilevel"/>
    <w:tmpl w:val="2FF063C8"/>
    <w:lvl w:ilvl="0" w:tplc="B5D8CF56">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5" w15:restartNumberingAfterBreak="0">
    <w:nsid w:val="46574868"/>
    <w:multiLevelType w:val="hybridMultilevel"/>
    <w:tmpl w:val="F29E46CA"/>
    <w:lvl w:ilvl="0" w:tplc="4DFC20FA">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6" w15:restartNumberingAfterBreak="0">
    <w:nsid w:val="468228E8"/>
    <w:multiLevelType w:val="hybridMultilevel"/>
    <w:tmpl w:val="2668AB98"/>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7" w15:restartNumberingAfterBreak="0">
    <w:nsid w:val="46FA161C"/>
    <w:multiLevelType w:val="hybridMultilevel"/>
    <w:tmpl w:val="BFC0E296"/>
    <w:lvl w:ilvl="0" w:tplc="E332A6E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8" w15:restartNumberingAfterBreak="0">
    <w:nsid w:val="47943252"/>
    <w:multiLevelType w:val="hybridMultilevel"/>
    <w:tmpl w:val="4E42AC52"/>
    <w:lvl w:ilvl="0" w:tplc="677EE26E">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9" w15:restartNumberingAfterBreak="0">
    <w:nsid w:val="47FC528E"/>
    <w:multiLevelType w:val="hybridMultilevel"/>
    <w:tmpl w:val="C7D254B0"/>
    <w:lvl w:ilvl="0" w:tplc="4A38D406">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0" w15:restartNumberingAfterBreak="0">
    <w:nsid w:val="488568E1"/>
    <w:multiLevelType w:val="hybridMultilevel"/>
    <w:tmpl w:val="820461B0"/>
    <w:lvl w:ilvl="0" w:tplc="F47AA384">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1" w15:restartNumberingAfterBreak="0">
    <w:nsid w:val="495F065A"/>
    <w:multiLevelType w:val="hybridMultilevel"/>
    <w:tmpl w:val="D3BA3C66"/>
    <w:lvl w:ilvl="0" w:tplc="82F6844A">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2" w15:restartNumberingAfterBreak="0">
    <w:nsid w:val="497A1E77"/>
    <w:multiLevelType w:val="hybridMultilevel"/>
    <w:tmpl w:val="F8F439BE"/>
    <w:lvl w:ilvl="0" w:tplc="E31436E6">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3" w15:restartNumberingAfterBreak="0">
    <w:nsid w:val="49DA6BDC"/>
    <w:multiLevelType w:val="hybridMultilevel"/>
    <w:tmpl w:val="29A4DC20"/>
    <w:lvl w:ilvl="0" w:tplc="E48A250C">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4" w15:restartNumberingAfterBreak="0">
    <w:nsid w:val="49E2182B"/>
    <w:multiLevelType w:val="hybridMultilevel"/>
    <w:tmpl w:val="D3562F28"/>
    <w:lvl w:ilvl="0" w:tplc="80EE8960">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5" w15:restartNumberingAfterBreak="0">
    <w:nsid w:val="49E360D0"/>
    <w:multiLevelType w:val="hybridMultilevel"/>
    <w:tmpl w:val="7C1E2142"/>
    <w:lvl w:ilvl="0" w:tplc="1B4C89F2">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6" w15:restartNumberingAfterBreak="0">
    <w:nsid w:val="49EF2492"/>
    <w:multiLevelType w:val="hybridMultilevel"/>
    <w:tmpl w:val="4D5E9CDE"/>
    <w:lvl w:ilvl="0" w:tplc="770ECB8A">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7" w15:restartNumberingAfterBreak="0">
    <w:nsid w:val="4A833F79"/>
    <w:multiLevelType w:val="hybridMultilevel"/>
    <w:tmpl w:val="82685C78"/>
    <w:lvl w:ilvl="0" w:tplc="F63CE99C">
      <w:start w:val="6"/>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8" w15:restartNumberingAfterBreak="0">
    <w:nsid w:val="4AA72ED1"/>
    <w:multiLevelType w:val="hybridMultilevel"/>
    <w:tmpl w:val="658C07FE"/>
    <w:lvl w:ilvl="0" w:tplc="14D8E9D8">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9" w15:restartNumberingAfterBreak="0">
    <w:nsid w:val="4AAA13B7"/>
    <w:multiLevelType w:val="hybridMultilevel"/>
    <w:tmpl w:val="166A4CDE"/>
    <w:lvl w:ilvl="0" w:tplc="3E1E7E16">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0" w15:restartNumberingAfterBreak="0">
    <w:nsid w:val="4ACD64ED"/>
    <w:multiLevelType w:val="hybridMultilevel"/>
    <w:tmpl w:val="6E80AEA8"/>
    <w:lvl w:ilvl="0" w:tplc="4D10E27E">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1" w15:restartNumberingAfterBreak="0">
    <w:nsid w:val="4AED2182"/>
    <w:multiLevelType w:val="hybridMultilevel"/>
    <w:tmpl w:val="B5B0B742"/>
    <w:lvl w:ilvl="0" w:tplc="D3863A80">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2" w15:restartNumberingAfterBreak="0">
    <w:nsid w:val="4B8E5752"/>
    <w:multiLevelType w:val="hybridMultilevel"/>
    <w:tmpl w:val="402C4C1A"/>
    <w:lvl w:ilvl="0" w:tplc="CE1829EC">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3" w15:restartNumberingAfterBreak="0">
    <w:nsid w:val="4BDB482F"/>
    <w:multiLevelType w:val="hybridMultilevel"/>
    <w:tmpl w:val="FF420BB0"/>
    <w:lvl w:ilvl="0" w:tplc="CCB0021E">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4" w15:restartNumberingAfterBreak="0">
    <w:nsid w:val="4BE31921"/>
    <w:multiLevelType w:val="hybridMultilevel"/>
    <w:tmpl w:val="861A2EA6"/>
    <w:lvl w:ilvl="0" w:tplc="769E2B5A">
      <w:start w:val="6"/>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5" w15:restartNumberingAfterBreak="0">
    <w:nsid w:val="4C8D02CD"/>
    <w:multiLevelType w:val="hybridMultilevel"/>
    <w:tmpl w:val="314A4FCC"/>
    <w:lvl w:ilvl="0" w:tplc="B210B88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6" w15:restartNumberingAfterBreak="0">
    <w:nsid w:val="4C906A3B"/>
    <w:multiLevelType w:val="hybridMultilevel"/>
    <w:tmpl w:val="391C36F8"/>
    <w:lvl w:ilvl="0" w:tplc="AF7E065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7" w15:restartNumberingAfterBreak="0">
    <w:nsid w:val="4D4C30B8"/>
    <w:multiLevelType w:val="hybridMultilevel"/>
    <w:tmpl w:val="41B63BD8"/>
    <w:lvl w:ilvl="0" w:tplc="EB8CD7A0">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8" w15:restartNumberingAfterBreak="0">
    <w:nsid w:val="4D667453"/>
    <w:multiLevelType w:val="hybridMultilevel"/>
    <w:tmpl w:val="A85A1B52"/>
    <w:lvl w:ilvl="0" w:tplc="D9B23092">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9" w15:restartNumberingAfterBreak="0">
    <w:nsid w:val="4D77039F"/>
    <w:multiLevelType w:val="hybridMultilevel"/>
    <w:tmpl w:val="31A05344"/>
    <w:lvl w:ilvl="0" w:tplc="972019F8">
      <w:start w:val="7"/>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0" w15:restartNumberingAfterBreak="0">
    <w:nsid w:val="4DCA730C"/>
    <w:multiLevelType w:val="hybridMultilevel"/>
    <w:tmpl w:val="E138CD0E"/>
    <w:lvl w:ilvl="0" w:tplc="45924D08">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1" w15:restartNumberingAfterBreak="0">
    <w:nsid w:val="4DEE6B86"/>
    <w:multiLevelType w:val="hybridMultilevel"/>
    <w:tmpl w:val="87E6EE4E"/>
    <w:lvl w:ilvl="0" w:tplc="EAEE375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2" w15:restartNumberingAfterBreak="0">
    <w:nsid w:val="4DEE6FED"/>
    <w:multiLevelType w:val="hybridMultilevel"/>
    <w:tmpl w:val="521C82F6"/>
    <w:lvl w:ilvl="0" w:tplc="BB3C684C">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3" w15:restartNumberingAfterBreak="0">
    <w:nsid w:val="4E1F4E4B"/>
    <w:multiLevelType w:val="hybridMultilevel"/>
    <w:tmpl w:val="C240B09E"/>
    <w:lvl w:ilvl="0" w:tplc="9D50AD2A">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4" w15:restartNumberingAfterBreak="0">
    <w:nsid w:val="4F5A0769"/>
    <w:multiLevelType w:val="hybridMultilevel"/>
    <w:tmpl w:val="FDBEFE2C"/>
    <w:lvl w:ilvl="0" w:tplc="A6F204A6">
      <w:start w:val="7"/>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5" w15:restartNumberingAfterBreak="0">
    <w:nsid w:val="4F733E38"/>
    <w:multiLevelType w:val="hybridMultilevel"/>
    <w:tmpl w:val="703C4FCE"/>
    <w:lvl w:ilvl="0" w:tplc="BE009AA2">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6" w15:restartNumberingAfterBreak="0">
    <w:nsid w:val="4FAC4086"/>
    <w:multiLevelType w:val="hybridMultilevel"/>
    <w:tmpl w:val="345E74E0"/>
    <w:lvl w:ilvl="0" w:tplc="B51A1994">
      <w:start w:val="4"/>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7" w15:restartNumberingAfterBreak="0">
    <w:nsid w:val="4FE4315C"/>
    <w:multiLevelType w:val="hybridMultilevel"/>
    <w:tmpl w:val="4510D2C8"/>
    <w:lvl w:ilvl="0" w:tplc="A2A2A4F4">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8" w15:restartNumberingAfterBreak="0">
    <w:nsid w:val="50021CE1"/>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9" w15:restartNumberingAfterBreak="0">
    <w:nsid w:val="501E48C3"/>
    <w:multiLevelType w:val="hybridMultilevel"/>
    <w:tmpl w:val="6930B5A0"/>
    <w:lvl w:ilvl="0" w:tplc="3A089280">
      <w:start w:val="6"/>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0" w15:restartNumberingAfterBreak="0">
    <w:nsid w:val="5065711B"/>
    <w:multiLevelType w:val="hybridMultilevel"/>
    <w:tmpl w:val="D010752C"/>
    <w:lvl w:ilvl="0" w:tplc="DA9086F4">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1" w15:restartNumberingAfterBreak="0">
    <w:nsid w:val="51032EDC"/>
    <w:multiLevelType w:val="hybridMultilevel"/>
    <w:tmpl w:val="DE4A66FE"/>
    <w:lvl w:ilvl="0" w:tplc="073C01D4">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2" w15:restartNumberingAfterBreak="0">
    <w:nsid w:val="523874B7"/>
    <w:multiLevelType w:val="hybridMultilevel"/>
    <w:tmpl w:val="BADE85EC"/>
    <w:lvl w:ilvl="0" w:tplc="95C4E9AA">
      <w:start w:val="4"/>
      <w:numFmt w:val="lowerLetter"/>
      <w:lvlText w:val="%1."/>
      <w:lvlJc w:val="left"/>
      <w:pPr>
        <w:ind w:left="144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3" w15:restartNumberingAfterBreak="0">
    <w:nsid w:val="52972F29"/>
    <w:multiLevelType w:val="hybridMultilevel"/>
    <w:tmpl w:val="0072525C"/>
    <w:lvl w:ilvl="0" w:tplc="D512A6F6">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4" w15:restartNumberingAfterBreak="0">
    <w:nsid w:val="52AF4593"/>
    <w:multiLevelType w:val="hybridMultilevel"/>
    <w:tmpl w:val="A20E8DFC"/>
    <w:lvl w:ilvl="0" w:tplc="D0527AA6">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5" w15:restartNumberingAfterBreak="0">
    <w:nsid w:val="534B3C2A"/>
    <w:multiLevelType w:val="hybridMultilevel"/>
    <w:tmpl w:val="8904CB04"/>
    <w:lvl w:ilvl="0" w:tplc="85547A34">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6" w15:restartNumberingAfterBreak="0">
    <w:nsid w:val="537B4F49"/>
    <w:multiLevelType w:val="hybridMultilevel"/>
    <w:tmpl w:val="B69CF2F4"/>
    <w:lvl w:ilvl="0" w:tplc="C93223C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7" w15:restartNumberingAfterBreak="0">
    <w:nsid w:val="53BB038C"/>
    <w:multiLevelType w:val="hybridMultilevel"/>
    <w:tmpl w:val="7D604B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8" w15:restartNumberingAfterBreak="0">
    <w:nsid w:val="549D463F"/>
    <w:multiLevelType w:val="hybridMultilevel"/>
    <w:tmpl w:val="5D76E620"/>
    <w:lvl w:ilvl="0" w:tplc="1CC2AAEC">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9" w15:restartNumberingAfterBreak="0">
    <w:nsid w:val="55933FA9"/>
    <w:multiLevelType w:val="hybridMultilevel"/>
    <w:tmpl w:val="DEE6A9BC"/>
    <w:lvl w:ilvl="0" w:tplc="0770A8DC">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0" w15:restartNumberingAfterBreak="0">
    <w:nsid w:val="56DA3964"/>
    <w:multiLevelType w:val="hybridMultilevel"/>
    <w:tmpl w:val="EEF27DF0"/>
    <w:lvl w:ilvl="0" w:tplc="EADEC756">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1" w15:restartNumberingAfterBreak="0">
    <w:nsid w:val="56DD1E00"/>
    <w:multiLevelType w:val="hybridMultilevel"/>
    <w:tmpl w:val="37CC19C4"/>
    <w:lvl w:ilvl="0" w:tplc="34A0480E">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2" w15:restartNumberingAfterBreak="0">
    <w:nsid w:val="574B307D"/>
    <w:multiLevelType w:val="hybridMultilevel"/>
    <w:tmpl w:val="EF52D3F8"/>
    <w:lvl w:ilvl="0" w:tplc="693EE6E0">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3" w15:restartNumberingAfterBreak="0">
    <w:nsid w:val="575B0DD3"/>
    <w:multiLevelType w:val="hybridMultilevel"/>
    <w:tmpl w:val="0F70BD64"/>
    <w:lvl w:ilvl="0" w:tplc="37763856">
      <w:start w:val="7"/>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4" w15:restartNumberingAfterBreak="0">
    <w:nsid w:val="584E7D7D"/>
    <w:multiLevelType w:val="hybridMultilevel"/>
    <w:tmpl w:val="16A4E41A"/>
    <w:lvl w:ilvl="0" w:tplc="7C2E57C6">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5" w15:restartNumberingAfterBreak="0">
    <w:nsid w:val="58881CC7"/>
    <w:multiLevelType w:val="hybridMultilevel"/>
    <w:tmpl w:val="877077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6" w15:restartNumberingAfterBreak="0">
    <w:nsid w:val="58DF1F99"/>
    <w:multiLevelType w:val="hybridMultilevel"/>
    <w:tmpl w:val="C4A8FA9E"/>
    <w:lvl w:ilvl="0" w:tplc="D88295D6">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7" w15:restartNumberingAfterBreak="0">
    <w:nsid w:val="59042453"/>
    <w:multiLevelType w:val="hybridMultilevel"/>
    <w:tmpl w:val="9EBC0A2C"/>
    <w:lvl w:ilvl="0" w:tplc="DBDAEC30">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8" w15:restartNumberingAfterBreak="0">
    <w:nsid w:val="59665D87"/>
    <w:multiLevelType w:val="hybridMultilevel"/>
    <w:tmpl w:val="8B58241E"/>
    <w:lvl w:ilvl="0" w:tplc="F52E68F4">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9" w15:restartNumberingAfterBreak="0">
    <w:nsid w:val="59BB1A72"/>
    <w:multiLevelType w:val="hybridMultilevel"/>
    <w:tmpl w:val="90CEAF04"/>
    <w:lvl w:ilvl="0" w:tplc="9A9E23FA">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0" w15:restartNumberingAfterBreak="0">
    <w:nsid w:val="59DA4F66"/>
    <w:multiLevelType w:val="hybridMultilevel"/>
    <w:tmpl w:val="7D3E1578"/>
    <w:lvl w:ilvl="0" w:tplc="ACE07F14">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1" w15:restartNumberingAfterBreak="0">
    <w:nsid w:val="5A094DF0"/>
    <w:multiLevelType w:val="hybridMultilevel"/>
    <w:tmpl w:val="7F02D33A"/>
    <w:lvl w:ilvl="0" w:tplc="CC267A34">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2" w15:restartNumberingAfterBreak="0">
    <w:nsid w:val="5ABD57FC"/>
    <w:multiLevelType w:val="hybridMultilevel"/>
    <w:tmpl w:val="285842BE"/>
    <w:lvl w:ilvl="0" w:tplc="A6163D9A">
      <w:start w:val="5"/>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3" w15:restartNumberingAfterBreak="0">
    <w:nsid w:val="5BCD07BE"/>
    <w:multiLevelType w:val="hybridMultilevel"/>
    <w:tmpl w:val="8C3C6BCA"/>
    <w:lvl w:ilvl="0" w:tplc="13EC97EC">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4" w15:restartNumberingAfterBreak="0">
    <w:nsid w:val="5C4636E9"/>
    <w:multiLevelType w:val="hybridMultilevel"/>
    <w:tmpl w:val="72CC7828"/>
    <w:lvl w:ilvl="0" w:tplc="E41A5C1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5" w15:restartNumberingAfterBreak="0">
    <w:nsid w:val="5C6F6683"/>
    <w:multiLevelType w:val="hybridMultilevel"/>
    <w:tmpl w:val="3642D406"/>
    <w:lvl w:ilvl="0" w:tplc="EF040D26">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6" w15:restartNumberingAfterBreak="0">
    <w:nsid w:val="5D6778C3"/>
    <w:multiLevelType w:val="hybridMultilevel"/>
    <w:tmpl w:val="31562B14"/>
    <w:lvl w:ilvl="0" w:tplc="ACDE3684">
      <w:start w:val="7"/>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7" w15:restartNumberingAfterBreak="0">
    <w:nsid w:val="5DBB133A"/>
    <w:multiLevelType w:val="hybridMultilevel"/>
    <w:tmpl w:val="7D82430E"/>
    <w:lvl w:ilvl="0" w:tplc="AE30F348">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8" w15:restartNumberingAfterBreak="0">
    <w:nsid w:val="5E1A6620"/>
    <w:multiLevelType w:val="hybridMultilevel"/>
    <w:tmpl w:val="04883230"/>
    <w:lvl w:ilvl="0" w:tplc="2A36D908">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9" w15:restartNumberingAfterBreak="0">
    <w:nsid w:val="5ED009A2"/>
    <w:multiLevelType w:val="hybridMultilevel"/>
    <w:tmpl w:val="47C2656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0" w15:restartNumberingAfterBreak="0">
    <w:nsid w:val="5EE53AE3"/>
    <w:multiLevelType w:val="hybridMultilevel"/>
    <w:tmpl w:val="BFEE89E4"/>
    <w:lvl w:ilvl="0" w:tplc="61101262">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1" w15:restartNumberingAfterBreak="0">
    <w:nsid w:val="5FF45ECC"/>
    <w:multiLevelType w:val="hybridMultilevel"/>
    <w:tmpl w:val="815C3BD4"/>
    <w:lvl w:ilvl="0" w:tplc="62245484">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2" w15:restartNumberingAfterBreak="0">
    <w:nsid w:val="60171766"/>
    <w:multiLevelType w:val="hybridMultilevel"/>
    <w:tmpl w:val="26E21EE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3" w15:restartNumberingAfterBreak="0">
    <w:nsid w:val="6029604E"/>
    <w:multiLevelType w:val="hybridMultilevel"/>
    <w:tmpl w:val="D5000C0C"/>
    <w:lvl w:ilvl="0" w:tplc="8BAA7DD4">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4" w15:restartNumberingAfterBreak="0">
    <w:nsid w:val="611660C2"/>
    <w:multiLevelType w:val="hybridMultilevel"/>
    <w:tmpl w:val="6D52483A"/>
    <w:lvl w:ilvl="0" w:tplc="49F01172">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5" w15:restartNumberingAfterBreak="0">
    <w:nsid w:val="612D5149"/>
    <w:multiLevelType w:val="hybridMultilevel"/>
    <w:tmpl w:val="4AE22D06"/>
    <w:lvl w:ilvl="0" w:tplc="B538C212">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6" w15:restartNumberingAfterBreak="0">
    <w:nsid w:val="6271678B"/>
    <w:multiLevelType w:val="hybridMultilevel"/>
    <w:tmpl w:val="54E66816"/>
    <w:lvl w:ilvl="0" w:tplc="5AE67DDC">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7" w15:restartNumberingAfterBreak="0">
    <w:nsid w:val="62B163E4"/>
    <w:multiLevelType w:val="hybridMultilevel"/>
    <w:tmpl w:val="C82CE6CE"/>
    <w:lvl w:ilvl="0" w:tplc="3F2CF4B8">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8" w15:restartNumberingAfterBreak="0">
    <w:nsid w:val="631C76D1"/>
    <w:multiLevelType w:val="hybridMultilevel"/>
    <w:tmpl w:val="1E70375A"/>
    <w:lvl w:ilvl="0" w:tplc="9DF8C2D4">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9" w15:restartNumberingAfterBreak="0">
    <w:nsid w:val="6332417B"/>
    <w:multiLevelType w:val="hybridMultilevel"/>
    <w:tmpl w:val="7F2633F8"/>
    <w:lvl w:ilvl="0" w:tplc="32E859DC">
      <w:start w:val="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0" w15:restartNumberingAfterBreak="0">
    <w:nsid w:val="634D3F50"/>
    <w:multiLevelType w:val="hybridMultilevel"/>
    <w:tmpl w:val="59081432"/>
    <w:lvl w:ilvl="0" w:tplc="A1D623B2">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1" w15:restartNumberingAfterBreak="0">
    <w:nsid w:val="63F91726"/>
    <w:multiLevelType w:val="hybridMultilevel"/>
    <w:tmpl w:val="7AC8EAB2"/>
    <w:lvl w:ilvl="0" w:tplc="70AA857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2" w15:restartNumberingAfterBreak="0">
    <w:nsid w:val="64001DDD"/>
    <w:multiLevelType w:val="hybridMultilevel"/>
    <w:tmpl w:val="C49AC898"/>
    <w:lvl w:ilvl="0" w:tplc="70FC0792">
      <w:start w:val="5"/>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3" w15:restartNumberingAfterBreak="0">
    <w:nsid w:val="651767E8"/>
    <w:multiLevelType w:val="hybridMultilevel"/>
    <w:tmpl w:val="0B62F56A"/>
    <w:lvl w:ilvl="0" w:tplc="D1F0637A">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4" w15:restartNumberingAfterBreak="0">
    <w:nsid w:val="65413BE8"/>
    <w:multiLevelType w:val="hybridMultilevel"/>
    <w:tmpl w:val="D5B87C9C"/>
    <w:lvl w:ilvl="0" w:tplc="9B2A1B9E">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5" w15:restartNumberingAfterBreak="0">
    <w:nsid w:val="662B4763"/>
    <w:multiLevelType w:val="hybridMultilevel"/>
    <w:tmpl w:val="CFD01E58"/>
    <w:lvl w:ilvl="0" w:tplc="32683BEA">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6" w15:restartNumberingAfterBreak="0">
    <w:nsid w:val="66F808BF"/>
    <w:multiLevelType w:val="hybridMultilevel"/>
    <w:tmpl w:val="909647B4"/>
    <w:lvl w:ilvl="0" w:tplc="F5684EFE">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7" w15:restartNumberingAfterBreak="0">
    <w:nsid w:val="672677EE"/>
    <w:multiLevelType w:val="hybridMultilevel"/>
    <w:tmpl w:val="6A12A1B4"/>
    <w:lvl w:ilvl="0" w:tplc="49188AC2">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8" w15:restartNumberingAfterBreak="0">
    <w:nsid w:val="672C3E69"/>
    <w:multiLevelType w:val="hybridMultilevel"/>
    <w:tmpl w:val="256AC586"/>
    <w:lvl w:ilvl="0" w:tplc="B6E2B29E">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9" w15:restartNumberingAfterBreak="0">
    <w:nsid w:val="67557427"/>
    <w:multiLevelType w:val="hybridMultilevel"/>
    <w:tmpl w:val="21983C54"/>
    <w:lvl w:ilvl="0" w:tplc="B78E78B8">
      <w:start w:val="7"/>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0" w15:restartNumberingAfterBreak="0">
    <w:nsid w:val="678244E4"/>
    <w:multiLevelType w:val="hybridMultilevel"/>
    <w:tmpl w:val="22E61EA0"/>
    <w:lvl w:ilvl="0" w:tplc="1910EC2A">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1" w15:restartNumberingAfterBreak="0">
    <w:nsid w:val="681F2D0B"/>
    <w:multiLevelType w:val="hybridMultilevel"/>
    <w:tmpl w:val="7568853C"/>
    <w:lvl w:ilvl="0" w:tplc="E2B27CD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2" w15:restartNumberingAfterBreak="0">
    <w:nsid w:val="683922BD"/>
    <w:multiLevelType w:val="hybridMultilevel"/>
    <w:tmpl w:val="B888ED34"/>
    <w:lvl w:ilvl="0" w:tplc="30605DF4">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3" w15:restartNumberingAfterBreak="0">
    <w:nsid w:val="684F6250"/>
    <w:multiLevelType w:val="hybridMultilevel"/>
    <w:tmpl w:val="E766F45E"/>
    <w:lvl w:ilvl="0" w:tplc="AA38CC4A">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4" w15:restartNumberingAfterBreak="0">
    <w:nsid w:val="68955A98"/>
    <w:multiLevelType w:val="hybridMultilevel"/>
    <w:tmpl w:val="791C9906"/>
    <w:lvl w:ilvl="0" w:tplc="420A0C6C">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5" w15:restartNumberingAfterBreak="0">
    <w:nsid w:val="6918186D"/>
    <w:multiLevelType w:val="hybridMultilevel"/>
    <w:tmpl w:val="609812F2"/>
    <w:lvl w:ilvl="0" w:tplc="BDC23474">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6" w15:restartNumberingAfterBreak="0">
    <w:nsid w:val="69900CE8"/>
    <w:multiLevelType w:val="hybridMultilevel"/>
    <w:tmpl w:val="DD98B5CA"/>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7" w15:restartNumberingAfterBreak="0">
    <w:nsid w:val="6A005281"/>
    <w:multiLevelType w:val="hybridMultilevel"/>
    <w:tmpl w:val="E5CC6E84"/>
    <w:lvl w:ilvl="0" w:tplc="0C46338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8" w15:restartNumberingAfterBreak="0">
    <w:nsid w:val="6A1B6C95"/>
    <w:multiLevelType w:val="hybridMultilevel"/>
    <w:tmpl w:val="A55E7B74"/>
    <w:lvl w:ilvl="0" w:tplc="0A000068">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9" w15:restartNumberingAfterBreak="0">
    <w:nsid w:val="6A7B3FBE"/>
    <w:multiLevelType w:val="hybridMultilevel"/>
    <w:tmpl w:val="227C4484"/>
    <w:lvl w:ilvl="0" w:tplc="0964882E">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0" w15:restartNumberingAfterBreak="0">
    <w:nsid w:val="6A951EC5"/>
    <w:multiLevelType w:val="hybridMultilevel"/>
    <w:tmpl w:val="36D4D3F2"/>
    <w:lvl w:ilvl="0" w:tplc="26783D36">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1" w15:restartNumberingAfterBreak="0">
    <w:nsid w:val="6AC603BE"/>
    <w:multiLevelType w:val="hybridMultilevel"/>
    <w:tmpl w:val="7D64F436"/>
    <w:lvl w:ilvl="0" w:tplc="B2F6002C">
      <w:start w:val="1"/>
      <w:numFmt w:val="upperLetter"/>
      <w:lvlText w:val="%1)"/>
      <w:lvlJc w:val="left"/>
      <w:pPr>
        <w:ind w:left="720" w:hanging="360"/>
      </w:pPr>
      <w:rPr>
        <w:rFonts w:hint="default"/>
      </w:rPr>
    </w:lvl>
    <w:lvl w:ilvl="1" w:tplc="53C6443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2" w15:restartNumberingAfterBreak="0">
    <w:nsid w:val="6AEC3F23"/>
    <w:multiLevelType w:val="hybridMultilevel"/>
    <w:tmpl w:val="E9DE926A"/>
    <w:lvl w:ilvl="0" w:tplc="C78CBE7A">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3" w15:restartNumberingAfterBreak="0">
    <w:nsid w:val="6B3B7369"/>
    <w:multiLevelType w:val="hybridMultilevel"/>
    <w:tmpl w:val="B11029B2"/>
    <w:lvl w:ilvl="0" w:tplc="D7B27C08">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4" w15:restartNumberingAfterBreak="0">
    <w:nsid w:val="6B5912B8"/>
    <w:multiLevelType w:val="hybridMultilevel"/>
    <w:tmpl w:val="6256DB74"/>
    <w:lvl w:ilvl="0" w:tplc="E196EFBE">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5" w15:restartNumberingAfterBreak="0">
    <w:nsid w:val="6B6A0EAA"/>
    <w:multiLevelType w:val="hybridMultilevel"/>
    <w:tmpl w:val="7DF2121E"/>
    <w:lvl w:ilvl="0" w:tplc="55D40972">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6" w15:restartNumberingAfterBreak="0">
    <w:nsid w:val="6BE91289"/>
    <w:multiLevelType w:val="hybridMultilevel"/>
    <w:tmpl w:val="A776CDE8"/>
    <w:lvl w:ilvl="0" w:tplc="366A0A7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7" w15:restartNumberingAfterBreak="0">
    <w:nsid w:val="6BF44621"/>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8" w15:restartNumberingAfterBreak="0">
    <w:nsid w:val="6C985271"/>
    <w:multiLevelType w:val="hybridMultilevel"/>
    <w:tmpl w:val="0A48ACE4"/>
    <w:lvl w:ilvl="0" w:tplc="4688601E">
      <w:start w:val="2"/>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9" w15:restartNumberingAfterBreak="0">
    <w:nsid w:val="6D564AFF"/>
    <w:multiLevelType w:val="hybridMultilevel"/>
    <w:tmpl w:val="97C60036"/>
    <w:lvl w:ilvl="0" w:tplc="B89836E2">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0" w15:restartNumberingAfterBreak="0">
    <w:nsid w:val="6D6755B2"/>
    <w:multiLevelType w:val="hybridMultilevel"/>
    <w:tmpl w:val="AAC49AE2"/>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1" w15:restartNumberingAfterBreak="0">
    <w:nsid w:val="6D7E404D"/>
    <w:multiLevelType w:val="hybridMultilevel"/>
    <w:tmpl w:val="18F8342C"/>
    <w:lvl w:ilvl="0" w:tplc="2832693E">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2" w15:restartNumberingAfterBreak="0">
    <w:nsid w:val="6E5A4DC5"/>
    <w:multiLevelType w:val="hybridMultilevel"/>
    <w:tmpl w:val="A0A8E9CC"/>
    <w:lvl w:ilvl="0" w:tplc="5A28175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3" w15:restartNumberingAfterBreak="0">
    <w:nsid w:val="6E657AC8"/>
    <w:multiLevelType w:val="hybridMultilevel"/>
    <w:tmpl w:val="37F63C20"/>
    <w:lvl w:ilvl="0" w:tplc="D2B8776C">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4" w15:restartNumberingAfterBreak="0">
    <w:nsid w:val="6F3F1DAF"/>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5" w15:restartNumberingAfterBreak="0">
    <w:nsid w:val="6F4D2130"/>
    <w:multiLevelType w:val="hybridMultilevel"/>
    <w:tmpl w:val="CED2D900"/>
    <w:lvl w:ilvl="0" w:tplc="EE1674D0">
      <w:start w:val="4"/>
      <w:numFmt w:val="upperLetter"/>
      <w:lvlText w:val="%1)"/>
      <w:lvlJc w:val="left"/>
      <w:pPr>
        <w:ind w:left="99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6" w15:restartNumberingAfterBreak="0">
    <w:nsid w:val="716B6BB8"/>
    <w:multiLevelType w:val="hybridMultilevel"/>
    <w:tmpl w:val="9D46FD9E"/>
    <w:lvl w:ilvl="0" w:tplc="B82ABF48">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7" w15:restartNumberingAfterBreak="0">
    <w:nsid w:val="71B45A32"/>
    <w:multiLevelType w:val="hybridMultilevel"/>
    <w:tmpl w:val="30BE6AD4"/>
    <w:lvl w:ilvl="0" w:tplc="30EAF8D6">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8" w15:restartNumberingAfterBreak="0">
    <w:nsid w:val="71ED6AD9"/>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9" w15:restartNumberingAfterBreak="0">
    <w:nsid w:val="727B36E7"/>
    <w:multiLevelType w:val="hybridMultilevel"/>
    <w:tmpl w:val="DD362196"/>
    <w:lvl w:ilvl="0" w:tplc="D4B48416">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0" w15:restartNumberingAfterBreak="0">
    <w:nsid w:val="731C5231"/>
    <w:multiLevelType w:val="hybridMultilevel"/>
    <w:tmpl w:val="C882E190"/>
    <w:lvl w:ilvl="0" w:tplc="B5D43468">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1" w15:restartNumberingAfterBreak="0">
    <w:nsid w:val="73665974"/>
    <w:multiLevelType w:val="hybridMultilevel"/>
    <w:tmpl w:val="14069378"/>
    <w:lvl w:ilvl="0" w:tplc="BBCADE46">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2" w15:restartNumberingAfterBreak="0">
    <w:nsid w:val="739E4AC1"/>
    <w:multiLevelType w:val="hybridMultilevel"/>
    <w:tmpl w:val="3CDC52B0"/>
    <w:lvl w:ilvl="0" w:tplc="0338B7DC">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3" w15:restartNumberingAfterBreak="0">
    <w:nsid w:val="73AD0145"/>
    <w:multiLevelType w:val="hybridMultilevel"/>
    <w:tmpl w:val="FC66596C"/>
    <w:lvl w:ilvl="0" w:tplc="CB040F8C">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4" w15:restartNumberingAfterBreak="0">
    <w:nsid w:val="74786163"/>
    <w:multiLevelType w:val="hybridMultilevel"/>
    <w:tmpl w:val="DAB60B8C"/>
    <w:lvl w:ilvl="0" w:tplc="126063AA">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5" w15:restartNumberingAfterBreak="0">
    <w:nsid w:val="74F82D74"/>
    <w:multiLevelType w:val="hybridMultilevel"/>
    <w:tmpl w:val="09F2D45C"/>
    <w:lvl w:ilvl="0" w:tplc="1E5652E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6" w15:restartNumberingAfterBreak="0">
    <w:nsid w:val="750A46B1"/>
    <w:multiLevelType w:val="hybridMultilevel"/>
    <w:tmpl w:val="6568E1B2"/>
    <w:lvl w:ilvl="0" w:tplc="BBC2AF8A">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7" w15:restartNumberingAfterBreak="0">
    <w:nsid w:val="754B07C9"/>
    <w:multiLevelType w:val="hybridMultilevel"/>
    <w:tmpl w:val="BAA86E18"/>
    <w:lvl w:ilvl="0" w:tplc="F24257B4">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8" w15:restartNumberingAfterBreak="0">
    <w:nsid w:val="75713F34"/>
    <w:multiLevelType w:val="hybridMultilevel"/>
    <w:tmpl w:val="FD380986"/>
    <w:lvl w:ilvl="0" w:tplc="85C095B6">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9" w15:restartNumberingAfterBreak="0">
    <w:nsid w:val="759768A9"/>
    <w:multiLevelType w:val="hybridMultilevel"/>
    <w:tmpl w:val="E58001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0" w15:restartNumberingAfterBreak="0">
    <w:nsid w:val="75F9172D"/>
    <w:multiLevelType w:val="hybridMultilevel"/>
    <w:tmpl w:val="BB78A4D2"/>
    <w:lvl w:ilvl="0" w:tplc="0696188A">
      <w:start w:val="2"/>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1" w15:restartNumberingAfterBreak="0">
    <w:nsid w:val="766B4963"/>
    <w:multiLevelType w:val="hybridMultilevel"/>
    <w:tmpl w:val="5BDECDD8"/>
    <w:lvl w:ilvl="0" w:tplc="9586D08A">
      <w:start w:val="3"/>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2" w15:restartNumberingAfterBreak="0">
    <w:nsid w:val="766C70F5"/>
    <w:multiLevelType w:val="hybridMultilevel"/>
    <w:tmpl w:val="8A58E254"/>
    <w:lvl w:ilvl="0" w:tplc="30BCE320">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3" w15:restartNumberingAfterBreak="0">
    <w:nsid w:val="77344E43"/>
    <w:multiLevelType w:val="hybridMultilevel"/>
    <w:tmpl w:val="513E272E"/>
    <w:lvl w:ilvl="0" w:tplc="DAA202C8">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4" w15:restartNumberingAfterBreak="0">
    <w:nsid w:val="774A2835"/>
    <w:multiLevelType w:val="hybridMultilevel"/>
    <w:tmpl w:val="D2AEDD10"/>
    <w:lvl w:ilvl="0" w:tplc="B2F6002C">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5" w15:restartNumberingAfterBreak="0">
    <w:nsid w:val="77D60BC4"/>
    <w:multiLevelType w:val="hybridMultilevel"/>
    <w:tmpl w:val="FDBA6B98"/>
    <w:lvl w:ilvl="0" w:tplc="397484B0">
      <w:start w:val="6"/>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6" w15:restartNumberingAfterBreak="0">
    <w:nsid w:val="782D3792"/>
    <w:multiLevelType w:val="hybridMultilevel"/>
    <w:tmpl w:val="FA321702"/>
    <w:lvl w:ilvl="0" w:tplc="512C666E">
      <w:start w:val="5"/>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7" w15:restartNumberingAfterBreak="0">
    <w:nsid w:val="78617BBE"/>
    <w:multiLevelType w:val="hybridMultilevel"/>
    <w:tmpl w:val="159C89B4"/>
    <w:lvl w:ilvl="0" w:tplc="9D323030">
      <w:start w:val="2"/>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8" w15:restartNumberingAfterBreak="0">
    <w:nsid w:val="78F7787C"/>
    <w:multiLevelType w:val="hybridMultilevel"/>
    <w:tmpl w:val="FB2C7FE6"/>
    <w:lvl w:ilvl="0" w:tplc="600415BA">
      <w:start w:val="7"/>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9" w15:restartNumberingAfterBreak="0">
    <w:nsid w:val="793A0443"/>
    <w:multiLevelType w:val="hybridMultilevel"/>
    <w:tmpl w:val="599AD548"/>
    <w:lvl w:ilvl="0" w:tplc="9F447DB4">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0" w15:restartNumberingAfterBreak="0">
    <w:nsid w:val="7A9B5EB9"/>
    <w:multiLevelType w:val="hybridMultilevel"/>
    <w:tmpl w:val="596868C8"/>
    <w:lvl w:ilvl="0" w:tplc="E1ECD15A">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1" w15:restartNumberingAfterBreak="0">
    <w:nsid w:val="7AC110FF"/>
    <w:multiLevelType w:val="hybridMultilevel"/>
    <w:tmpl w:val="9208C4E2"/>
    <w:lvl w:ilvl="0" w:tplc="8D06B1D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2" w15:restartNumberingAfterBreak="0">
    <w:nsid w:val="7B02466E"/>
    <w:multiLevelType w:val="hybridMultilevel"/>
    <w:tmpl w:val="68BEAC1E"/>
    <w:lvl w:ilvl="0" w:tplc="F0EC1354">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3" w15:restartNumberingAfterBreak="0">
    <w:nsid w:val="7B6F33A0"/>
    <w:multiLevelType w:val="hybridMultilevel"/>
    <w:tmpl w:val="6CE64B94"/>
    <w:lvl w:ilvl="0" w:tplc="17D8169E">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4" w15:restartNumberingAfterBreak="0">
    <w:nsid w:val="7B872DB4"/>
    <w:multiLevelType w:val="hybridMultilevel"/>
    <w:tmpl w:val="21FC3ED6"/>
    <w:lvl w:ilvl="0" w:tplc="FD7E8AEC">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5" w15:restartNumberingAfterBreak="0">
    <w:nsid w:val="7BAA09E1"/>
    <w:multiLevelType w:val="hybridMultilevel"/>
    <w:tmpl w:val="6F6E5386"/>
    <w:lvl w:ilvl="0" w:tplc="3D8C8D22">
      <w:start w:val="5"/>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6" w15:restartNumberingAfterBreak="0">
    <w:nsid w:val="7BE97941"/>
    <w:multiLevelType w:val="hybridMultilevel"/>
    <w:tmpl w:val="20D4D7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7" w15:restartNumberingAfterBreak="0">
    <w:nsid w:val="7C1C1C48"/>
    <w:multiLevelType w:val="hybridMultilevel"/>
    <w:tmpl w:val="54C46B4C"/>
    <w:lvl w:ilvl="0" w:tplc="0D90B70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8" w15:restartNumberingAfterBreak="0">
    <w:nsid w:val="7D002C37"/>
    <w:multiLevelType w:val="hybridMultilevel"/>
    <w:tmpl w:val="07E8942E"/>
    <w:lvl w:ilvl="0" w:tplc="0358B48C">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9" w15:restartNumberingAfterBreak="0">
    <w:nsid w:val="7D370557"/>
    <w:multiLevelType w:val="hybridMultilevel"/>
    <w:tmpl w:val="0A804C88"/>
    <w:lvl w:ilvl="0" w:tplc="CB06612A">
      <w:start w:val="4"/>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0" w15:restartNumberingAfterBreak="0">
    <w:nsid w:val="7D5B66AE"/>
    <w:multiLevelType w:val="hybridMultilevel"/>
    <w:tmpl w:val="C7BC0274"/>
    <w:lvl w:ilvl="0" w:tplc="E6A86046">
      <w:start w:val="4"/>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1" w15:restartNumberingAfterBreak="0">
    <w:nsid w:val="7E123D76"/>
    <w:multiLevelType w:val="hybridMultilevel"/>
    <w:tmpl w:val="20C692C4"/>
    <w:lvl w:ilvl="0" w:tplc="4A143C42">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2" w15:restartNumberingAfterBreak="0">
    <w:nsid w:val="7EA9695B"/>
    <w:multiLevelType w:val="hybridMultilevel"/>
    <w:tmpl w:val="22509B58"/>
    <w:lvl w:ilvl="0" w:tplc="05DC1C74">
      <w:start w:val="6"/>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3" w15:restartNumberingAfterBreak="0">
    <w:nsid w:val="7F77556B"/>
    <w:multiLevelType w:val="hybridMultilevel"/>
    <w:tmpl w:val="4D5E9CDE"/>
    <w:lvl w:ilvl="0" w:tplc="770ECB8A">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4" w15:restartNumberingAfterBreak="0">
    <w:nsid w:val="7F7F6DB2"/>
    <w:multiLevelType w:val="hybridMultilevel"/>
    <w:tmpl w:val="495A64F8"/>
    <w:lvl w:ilvl="0" w:tplc="2056D9B8">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5" w15:restartNumberingAfterBreak="0">
    <w:nsid w:val="7FD31CBE"/>
    <w:multiLevelType w:val="hybridMultilevel"/>
    <w:tmpl w:val="B03C6BEC"/>
    <w:lvl w:ilvl="0" w:tplc="7F487BEE">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79"/>
  </w:num>
  <w:num w:numId="2">
    <w:abstractNumId w:val="121"/>
  </w:num>
  <w:num w:numId="3">
    <w:abstractNumId w:val="0"/>
  </w:num>
  <w:num w:numId="4">
    <w:abstractNumId w:val="339"/>
  </w:num>
  <w:num w:numId="5">
    <w:abstractNumId w:val="24"/>
  </w:num>
  <w:num w:numId="6">
    <w:abstractNumId w:val="43"/>
  </w:num>
  <w:num w:numId="7">
    <w:abstractNumId w:val="58"/>
  </w:num>
  <w:num w:numId="8">
    <w:abstractNumId w:val="100"/>
  </w:num>
  <w:num w:numId="9">
    <w:abstractNumId w:val="18"/>
  </w:num>
  <w:num w:numId="10">
    <w:abstractNumId w:val="213"/>
  </w:num>
  <w:num w:numId="11">
    <w:abstractNumId w:val="175"/>
  </w:num>
  <w:num w:numId="12">
    <w:abstractNumId w:val="265"/>
  </w:num>
  <w:num w:numId="13">
    <w:abstractNumId w:val="137"/>
  </w:num>
  <w:num w:numId="14">
    <w:abstractNumId w:val="174"/>
  </w:num>
  <w:num w:numId="15">
    <w:abstractNumId w:val="30"/>
  </w:num>
  <w:num w:numId="16">
    <w:abstractNumId w:val="10"/>
  </w:num>
  <w:num w:numId="17">
    <w:abstractNumId w:val="248"/>
  </w:num>
  <w:num w:numId="18">
    <w:abstractNumId w:val="124"/>
  </w:num>
  <w:num w:numId="19">
    <w:abstractNumId w:val="78"/>
  </w:num>
  <w:num w:numId="20">
    <w:abstractNumId w:val="311"/>
  </w:num>
  <w:num w:numId="21">
    <w:abstractNumId w:val="129"/>
  </w:num>
  <w:num w:numId="22">
    <w:abstractNumId w:val="328"/>
  </w:num>
  <w:num w:numId="23">
    <w:abstractNumId w:val="306"/>
  </w:num>
  <w:num w:numId="24">
    <w:abstractNumId w:val="218"/>
  </w:num>
  <w:num w:numId="25">
    <w:abstractNumId w:val="231"/>
  </w:num>
  <w:num w:numId="26">
    <w:abstractNumId w:val="317"/>
  </w:num>
  <w:num w:numId="27">
    <w:abstractNumId w:val="344"/>
  </w:num>
  <w:num w:numId="28">
    <w:abstractNumId w:val="41"/>
  </w:num>
  <w:num w:numId="29">
    <w:abstractNumId w:val="324"/>
  </w:num>
  <w:num w:numId="30">
    <w:abstractNumId w:val="192"/>
  </w:num>
  <w:num w:numId="31">
    <w:abstractNumId w:val="161"/>
  </w:num>
  <w:num w:numId="32">
    <w:abstractNumId w:val="46"/>
  </w:num>
  <w:num w:numId="33">
    <w:abstractNumId w:val="14"/>
  </w:num>
  <w:num w:numId="34">
    <w:abstractNumId w:val="282"/>
  </w:num>
  <w:num w:numId="35">
    <w:abstractNumId w:val="216"/>
  </w:num>
  <w:num w:numId="36">
    <w:abstractNumId w:val="320"/>
  </w:num>
  <w:num w:numId="37">
    <w:abstractNumId w:val="70"/>
  </w:num>
  <w:num w:numId="38">
    <w:abstractNumId w:val="79"/>
  </w:num>
  <w:num w:numId="39">
    <w:abstractNumId w:val="47"/>
  </w:num>
  <w:num w:numId="40">
    <w:abstractNumId w:val="350"/>
  </w:num>
  <w:num w:numId="41">
    <w:abstractNumId w:val="189"/>
  </w:num>
  <w:num w:numId="42">
    <w:abstractNumId w:val="325"/>
  </w:num>
  <w:num w:numId="43">
    <w:abstractNumId w:val="167"/>
  </w:num>
  <w:num w:numId="44">
    <w:abstractNumId w:val="355"/>
  </w:num>
  <w:num w:numId="45">
    <w:abstractNumId w:val="63"/>
  </w:num>
  <w:num w:numId="46">
    <w:abstractNumId w:val="87"/>
  </w:num>
  <w:num w:numId="47">
    <w:abstractNumId w:val="133"/>
  </w:num>
  <w:num w:numId="48">
    <w:abstractNumId w:val="301"/>
  </w:num>
  <w:num w:numId="49">
    <w:abstractNumId w:val="172"/>
  </w:num>
  <w:num w:numId="50">
    <w:abstractNumId w:val="40"/>
  </w:num>
  <w:num w:numId="51">
    <w:abstractNumId w:val="72"/>
  </w:num>
  <w:num w:numId="52">
    <w:abstractNumId w:val="281"/>
  </w:num>
  <w:num w:numId="53">
    <w:abstractNumId w:val="245"/>
  </w:num>
  <w:num w:numId="54">
    <w:abstractNumId w:val="210"/>
  </w:num>
  <w:num w:numId="55">
    <w:abstractNumId w:val="235"/>
  </w:num>
  <w:num w:numId="56">
    <w:abstractNumId w:val="42"/>
  </w:num>
  <w:num w:numId="57">
    <w:abstractNumId w:val="259"/>
  </w:num>
  <w:num w:numId="58">
    <w:abstractNumId w:val="125"/>
  </w:num>
  <w:num w:numId="59">
    <w:abstractNumId w:val="162"/>
  </w:num>
  <w:num w:numId="60">
    <w:abstractNumId w:val="353"/>
  </w:num>
  <w:num w:numId="61">
    <w:abstractNumId w:val="136"/>
  </w:num>
  <w:num w:numId="62">
    <w:abstractNumId w:val="64"/>
  </w:num>
  <w:num w:numId="63">
    <w:abstractNumId w:val="69"/>
  </w:num>
  <w:num w:numId="64">
    <w:abstractNumId w:val="151"/>
  </w:num>
  <w:num w:numId="65">
    <w:abstractNumId w:val="341"/>
  </w:num>
  <w:num w:numId="66">
    <w:abstractNumId w:val="303"/>
  </w:num>
  <w:num w:numId="67">
    <w:abstractNumId w:val="134"/>
  </w:num>
  <w:num w:numId="68">
    <w:abstractNumId w:val="312"/>
  </w:num>
  <w:num w:numId="69">
    <w:abstractNumId w:val="179"/>
  </w:num>
  <w:num w:numId="70">
    <w:abstractNumId w:val="138"/>
  </w:num>
  <w:num w:numId="71">
    <w:abstractNumId w:val="208"/>
  </w:num>
  <w:num w:numId="72">
    <w:abstractNumId w:val="145"/>
  </w:num>
  <w:num w:numId="73">
    <w:abstractNumId w:val="142"/>
  </w:num>
  <w:num w:numId="74">
    <w:abstractNumId w:val="238"/>
  </w:num>
  <w:num w:numId="75">
    <w:abstractNumId w:val="110"/>
  </w:num>
  <w:num w:numId="76">
    <w:abstractNumId w:val="340"/>
  </w:num>
  <w:num w:numId="77">
    <w:abstractNumId w:val="277"/>
  </w:num>
  <w:num w:numId="78">
    <w:abstractNumId w:val="195"/>
  </w:num>
  <w:num w:numId="79">
    <w:abstractNumId w:val="7"/>
  </w:num>
  <w:num w:numId="80">
    <w:abstractNumId w:val="239"/>
  </w:num>
  <w:num w:numId="81">
    <w:abstractNumId w:val="16"/>
  </w:num>
  <w:num w:numId="82">
    <w:abstractNumId w:val="222"/>
  </w:num>
  <w:num w:numId="83">
    <w:abstractNumId w:val="49"/>
  </w:num>
  <w:num w:numId="84">
    <w:abstractNumId w:val="168"/>
  </w:num>
  <w:num w:numId="85">
    <w:abstractNumId w:val="211"/>
  </w:num>
  <w:num w:numId="86">
    <w:abstractNumId w:val="347"/>
  </w:num>
  <w:num w:numId="87">
    <w:abstractNumId w:val="157"/>
  </w:num>
  <w:num w:numId="88">
    <w:abstractNumId w:val="219"/>
  </w:num>
  <w:num w:numId="89">
    <w:abstractNumId w:val="73"/>
  </w:num>
  <w:num w:numId="90">
    <w:abstractNumId w:val="332"/>
  </w:num>
  <w:num w:numId="91">
    <w:abstractNumId w:val="290"/>
  </w:num>
  <w:num w:numId="92">
    <w:abstractNumId w:val="181"/>
  </w:num>
  <w:num w:numId="93">
    <w:abstractNumId w:val="94"/>
  </w:num>
  <w:num w:numId="94">
    <w:abstractNumId w:val="278"/>
  </w:num>
  <w:num w:numId="95">
    <w:abstractNumId w:val="117"/>
  </w:num>
  <w:num w:numId="96">
    <w:abstractNumId w:val="15"/>
  </w:num>
  <w:num w:numId="97">
    <w:abstractNumId w:val="25"/>
  </w:num>
  <w:num w:numId="98">
    <w:abstractNumId w:val="346"/>
  </w:num>
  <w:num w:numId="99">
    <w:abstractNumId w:val="176"/>
  </w:num>
  <w:num w:numId="100">
    <w:abstractNumId w:val="285"/>
  </w:num>
  <w:num w:numId="101">
    <w:abstractNumId w:val="274"/>
  </w:num>
  <w:num w:numId="102">
    <w:abstractNumId w:val="333"/>
  </w:num>
  <w:num w:numId="103">
    <w:abstractNumId w:val="276"/>
  </w:num>
  <w:num w:numId="104">
    <w:abstractNumId w:val="88"/>
  </w:num>
  <w:num w:numId="105">
    <w:abstractNumId w:val="55"/>
  </w:num>
  <w:num w:numId="106">
    <w:abstractNumId w:val="22"/>
  </w:num>
  <w:num w:numId="107">
    <w:abstractNumId w:val="264"/>
  </w:num>
  <w:num w:numId="108">
    <w:abstractNumId w:val="316"/>
  </w:num>
  <w:num w:numId="109">
    <w:abstractNumId w:val="197"/>
  </w:num>
  <w:num w:numId="110">
    <w:abstractNumId w:val="35"/>
  </w:num>
  <w:num w:numId="111">
    <w:abstractNumId w:val="288"/>
  </w:num>
  <w:num w:numId="112">
    <w:abstractNumId w:val="297"/>
  </w:num>
  <w:num w:numId="113">
    <w:abstractNumId w:val="156"/>
  </w:num>
  <w:num w:numId="114">
    <w:abstractNumId w:val="112"/>
  </w:num>
  <w:num w:numId="115">
    <w:abstractNumId w:val="140"/>
  </w:num>
  <w:num w:numId="116">
    <w:abstractNumId w:val="287"/>
  </w:num>
  <w:num w:numId="117">
    <w:abstractNumId w:val="202"/>
  </w:num>
  <w:num w:numId="118">
    <w:abstractNumId w:val="52"/>
  </w:num>
  <w:num w:numId="119">
    <w:abstractNumId w:val="307"/>
  </w:num>
  <w:num w:numId="120">
    <w:abstractNumId w:val="186"/>
  </w:num>
  <w:num w:numId="121">
    <w:abstractNumId w:val="44"/>
  </w:num>
  <w:num w:numId="122">
    <w:abstractNumId w:val="3"/>
  </w:num>
  <w:num w:numId="123">
    <w:abstractNumId w:val="27"/>
  </w:num>
  <w:num w:numId="124">
    <w:abstractNumId w:val="160"/>
  </w:num>
  <w:num w:numId="125">
    <w:abstractNumId w:val="227"/>
  </w:num>
  <w:num w:numId="126">
    <w:abstractNumId w:val="280"/>
  </w:num>
  <w:num w:numId="127">
    <w:abstractNumId w:val="158"/>
  </w:num>
  <w:num w:numId="128">
    <w:abstractNumId w:val="221"/>
  </w:num>
  <w:num w:numId="129">
    <w:abstractNumId w:val="214"/>
  </w:num>
  <w:num w:numId="130">
    <w:abstractNumId w:val="103"/>
  </w:num>
  <w:num w:numId="131">
    <w:abstractNumId w:val="207"/>
  </w:num>
  <w:num w:numId="132">
    <w:abstractNumId w:val="53"/>
  </w:num>
  <w:num w:numId="133">
    <w:abstractNumId w:val="86"/>
  </w:num>
  <w:num w:numId="134">
    <w:abstractNumId w:val="260"/>
  </w:num>
  <w:num w:numId="135">
    <w:abstractNumId w:val="330"/>
  </w:num>
  <w:num w:numId="136">
    <w:abstractNumId w:val="342"/>
  </w:num>
  <w:num w:numId="137">
    <w:abstractNumId w:val="225"/>
  </w:num>
  <w:num w:numId="138">
    <w:abstractNumId w:val="196"/>
  </w:num>
  <w:num w:numId="139">
    <w:abstractNumId w:val="23"/>
  </w:num>
  <w:num w:numId="140">
    <w:abstractNumId w:val="93"/>
  </w:num>
  <w:num w:numId="141">
    <w:abstractNumId w:val="76"/>
  </w:num>
  <w:num w:numId="142">
    <w:abstractNumId w:val="220"/>
  </w:num>
  <w:num w:numId="143">
    <w:abstractNumId w:val="296"/>
  </w:num>
  <w:num w:numId="144">
    <w:abstractNumId w:val="314"/>
  </w:num>
  <w:num w:numId="145">
    <w:abstractNumId w:val="9"/>
  </w:num>
  <w:num w:numId="146">
    <w:abstractNumId w:val="255"/>
  </w:num>
  <w:num w:numId="147">
    <w:abstractNumId w:val="34"/>
  </w:num>
  <w:num w:numId="148">
    <w:abstractNumId w:val="309"/>
  </w:num>
  <w:num w:numId="149">
    <w:abstractNumId w:val="351"/>
  </w:num>
  <w:num w:numId="150">
    <w:abstractNumId w:val="45"/>
  </w:num>
  <w:num w:numId="151">
    <w:abstractNumId w:val="120"/>
  </w:num>
  <w:num w:numId="152">
    <w:abstractNumId w:val="153"/>
  </w:num>
  <w:num w:numId="153">
    <w:abstractNumId w:val="237"/>
  </w:num>
  <w:num w:numId="154">
    <w:abstractNumId w:val="109"/>
  </w:num>
  <w:num w:numId="155">
    <w:abstractNumId w:val="349"/>
  </w:num>
  <w:num w:numId="156">
    <w:abstractNumId w:val="223"/>
  </w:num>
  <w:num w:numId="157">
    <w:abstractNumId w:val="131"/>
  </w:num>
  <w:num w:numId="158">
    <w:abstractNumId w:val="313"/>
  </w:num>
  <w:num w:numId="159">
    <w:abstractNumId w:val="230"/>
  </w:num>
  <w:num w:numId="160">
    <w:abstractNumId w:val="234"/>
  </w:num>
  <w:num w:numId="161">
    <w:abstractNumId w:val="101"/>
  </w:num>
  <w:num w:numId="162">
    <w:abstractNumId w:val="292"/>
  </w:num>
  <w:num w:numId="163">
    <w:abstractNumId w:val="127"/>
  </w:num>
  <w:num w:numId="164">
    <w:abstractNumId w:val="128"/>
  </w:num>
  <w:num w:numId="165">
    <w:abstractNumId w:val="21"/>
  </w:num>
  <w:num w:numId="166">
    <w:abstractNumId w:val="54"/>
  </w:num>
  <w:num w:numId="167">
    <w:abstractNumId w:val="193"/>
  </w:num>
  <w:num w:numId="168">
    <w:abstractNumId w:val="249"/>
  </w:num>
  <w:num w:numId="169">
    <w:abstractNumId w:val="150"/>
  </w:num>
  <w:num w:numId="170">
    <w:abstractNumId w:val="95"/>
  </w:num>
  <w:num w:numId="171">
    <w:abstractNumId w:val="56"/>
  </w:num>
  <w:num w:numId="172">
    <w:abstractNumId w:val="229"/>
  </w:num>
  <w:num w:numId="173">
    <w:abstractNumId w:val="118"/>
  </w:num>
  <w:num w:numId="174">
    <w:abstractNumId w:val="345"/>
  </w:num>
  <w:num w:numId="175">
    <w:abstractNumId w:val="159"/>
  </w:num>
  <w:num w:numId="176">
    <w:abstractNumId w:val="8"/>
  </w:num>
  <w:num w:numId="177">
    <w:abstractNumId w:val="97"/>
  </w:num>
  <w:num w:numId="178">
    <w:abstractNumId w:val="4"/>
  </w:num>
  <w:num w:numId="179">
    <w:abstractNumId w:val="164"/>
  </w:num>
  <w:num w:numId="180">
    <w:abstractNumId w:val="204"/>
  </w:num>
  <w:num w:numId="181">
    <w:abstractNumId w:val="247"/>
  </w:num>
  <w:num w:numId="182">
    <w:abstractNumId w:val="32"/>
  </w:num>
  <w:num w:numId="183">
    <w:abstractNumId w:val="51"/>
  </w:num>
  <w:num w:numId="184">
    <w:abstractNumId w:val="263"/>
  </w:num>
  <w:num w:numId="185">
    <w:abstractNumId w:val="84"/>
  </w:num>
  <w:num w:numId="186">
    <w:abstractNumId w:val="273"/>
  </w:num>
  <w:num w:numId="187">
    <w:abstractNumId w:val="29"/>
  </w:num>
  <w:num w:numId="188">
    <w:abstractNumId w:val="286"/>
  </w:num>
  <w:num w:numId="189">
    <w:abstractNumId w:val="199"/>
  </w:num>
  <w:num w:numId="190">
    <w:abstractNumId w:val="240"/>
  </w:num>
  <w:num w:numId="191">
    <w:abstractNumId w:val="244"/>
  </w:num>
  <w:num w:numId="192">
    <w:abstractNumId w:val="148"/>
  </w:num>
  <w:num w:numId="193">
    <w:abstractNumId w:val="266"/>
  </w:num>
  <w:num w:numId="194">
    <w:abstractNumId w:val="254"/>
  </w:num>
  <w:num w:numId="195">
    <w:abstractNumId w:val="104"/>
  </w:num>
  <w:num w:numId="196">
    <w:abstractNumId w:val="233"/>
  </w:num>
  <w:num w:numId="197">
    <w:abstractNumId w:val="82"/>
  </w:num>
  <w:num w:numId="198">
    <w:abstractNumId w:val="359"/>
  </w:num>
  <w:num w:numId="199">
    <w:abstractNumId w:val="289"/>
  </w:num>
  <w:num w:numId="200">
    <w:abstractNumId w:val="33"/>
  </w:num>
  <w:num w:numId="201">
    <w:abstractNumId w:val="284"/>
  </w:num>
  <w:num w:numId="202">
    <w:abstractNumId w:val="119"/>
  </w:num>
  <w:num w:numId="203">
    <w:abstractNumId w:val="194"/>
  </w:num>
  <w:num w:numId="204">
    <w:abstractNumId w:val="39"/>
  </w:num>
  <w:num w:numId="205">
    <w:abstractNumId w:val="37"/>
  </w:num>
  <w:num w:numId="206">
    <w:abstractNumId w:val="348"/>
  </w:num>
  <w:num w:numId="207">
    <w:abstractNumId w:val="144"/>
  </w:num>
  <w:num w:numId="208">
    <w:abstractNumId w:val="326"/>
  </w:num>
  <w:num w:numId="209">
    <w:abstractNumId w:val="299"/>
  </w:num>
  <w:num w:numId="210">
    <w:abstractNumId w:val="85"/>
  </w:num>
  <w:num w:numId="211">
    <w:abstractNumId w:val="337"/>
  </w:num>
  <w:num w:numId="212">
    <w:abstractNumId w:val="258"/>
  </w:num>
  <w:num w:numId="213">
    <w:abstractNumId w:val="270"/>
  </w:num>
  <w:num w:numId="214">
    <w:abstractNumId w:val="252"/>
  </w:num>
  <w:num w:numId="215">
    <w:abstractNumId w:val="135"/>
  </w:num>
  <w:num w:numId="216">
    <w:abstractNumId w:val="5"/>
  </w:num>
  <w:num w:numId="217">
    <w:abstractNumId w:val="62"/>
  </w:num>
  <w:num w:numId="218">
    <w:abstractNumId w:val="165"/>
  </w:num>
  <w:num w:numId="219">
    <w:abstractNumId w:val="96"/>
  </w:num>
  <w:num w:numId="220">
    <w:abstractNumId w:val="80"/>
  </w:num>
  <w:num w:numId="221">
    <w:abstractNumId w:val="154"/>
  </w:num>
  <w:num w:numId="222">
    <w:abstractNumId w:val="66"/>
  </w:num>
  <w:num w:numId="223">
    <w:abstractNumId w:val="203"/>
  </w:num>
  <w:num w:numId="224">
    <w:abstractNumId w:val="321"/>
  </w:num>
  <w:num w:numId="225">
    <w:abstractNumId w:val="224"/>
  </w:num>
  <w:num w:numId="226">
    <w:abstractNumId w:val="190"/>
  </w:num>
  <w:num w:numId="227">
    <w:abstractNumId w:val="166"/>
  </w:num>
  <w:num w:numId="228">
    <w:abstractNumId w:val="147"/>
  </w:num>
  <w:num w:numId="229">
    <w:abstractNumId w:val="19"/>
  </w:num>
  <w:num w:numId="230">
    <w:abstractNumId w:val="300"/>
  </w:num>
  <w:num w:numId="231">
    <w:abstractNumId w:val="139"/>
  </w:num>
  <w:num w:numId="232">
    <w:abstractNumId w:val="2"/>
  </w:num>
  <w:num w:numId="233">
    <w:abstractNumId w:val="360"/>
  </w:num>
  <w:num w:numId="234">
    <w:abstractNumId w:val="183"/>
  </w:num>
  <w:num w:numId="235">
    <w:abstractNumId w:val="126"/>
  </w:num>
  <w:num w:numId="236">
    <w:abstractNumId w:val="201"/>
  </w:num>
  <w:num w:numId="237">
    <w:abstractNumId w:val="262"/>
  </w:num>
  <w:num w:numId="238">
    <w:abstractNumId w:val="343"/>
  </w:num>
  <w:num w:numId="239">
    <w:abstractNumId w:val="182"/>
  </w:num>
  <w:num w:numId="240">
    <w:abstractNumId w:val="111"/>
  </w:num>
  <w:num w:numId="241">
    <w:abstractNumId w:val="354"/>
  </w:num>
  <w:num w:numId="242">
    <w:abstractNumId w:val="271"/>
  </w:num>
  <w:num w:numId="243">
    <w:abstractNumId w:val="173"/>
  </w:num>
  <w:num w:numId="244">
    <w:abstractNumId w:val="272"/>
  </w:num>
  <w:num w:numId="245">
    <w:abstractNumId w:val="17"/>
  </w:num>
  <w:num w:numId="246">
    <w:abstractNumId w:val="28"/>
  </w:num>
  <w:num w:numId="247">
    <w:abstractNumId w:val="81"/>
  </w:num>
  <w:num w:numId="248">
    <w:abstractNumId w:val="65"/>
  </w:num>
  <w:num w:numId="249">
    <w:abstractNumId w:val="315"/>
  </w:num>
  <w:num w:numId="250">
    <w:abstractNumId w:val="261"/>
  </w:num>
  <w:num w:numId="251">
    <w:abstractNumId w:val="268"/>
  </w:num>
  <w:num w:numId="252">
    <w:abstractNumId w:val="267"/>
  </w:num>
  <w:num w:numId="253">
    <w:abstractNumId w:val="77"/>
  </w:num>
  <w:num w:numId="254">
    <w:abstractNumId w:val="12"/>
  </w:num>
  <w:num w:numId="255">
    <w:abstractNumId w:val="180"/>
  </w:num>
  <w:num w:numId="256">
    <w:abstractNumId w:val="198"/>
  </w:num>
  <w:num w:numId="257">
    <w:abstractNumId w:val="275"/>
  </w:num>
  <w:num w:numId="258">
    <w:abstractNumId w:val="185"/>
  </w:num>
  <w:num w:numId="259">
    <w:abstractNumId w:val="13"/>
  </w:num>
  <w:num w:numId="260">
    <w:abstractNumId w:val="232"/>
  </w:num>
  <w:num w:numId="261">
    <w:abstractNumId w:val="327"/>
  </w:num>
  <w:num w:numId="262">
    <w:abstractNumId w:val="295"/>
  </w:num>
  <w:num w:numId="263">
    <w:abstractNumId w:val="362"/>
  </w:num>
  <w:num w:numId="264">
    <w:abstractNumId w:val="310"/>
  </w:num>
  <w:num w:numId="265">
    <w:abstractNumId w:val="304"/>
  </w:num>
  <w:num w:numId="266">
    <w:abstractNumId w:val="243"/>
  </w:num>
  <w:num w:numId="267">
    <w:abstractNumId w:val="60"/>
  </w:num>
  <w:num w:numId="268">
    <w:abstractNumId w:val="61"/>
  </w:num>
  <w:num w:numId="269">
    <w:abstractNumId w:val="155"/>
  </w:num>
  <w:num w:numId="270">
    <w:abstractNumId w:val="228"/>
  </w:num>
  <w:num w:numId="271">
    <w:abstractNumId w:val="318"/>
  </w:num>
  <w:num w:numId="272">
    <w:abstractNumId w:val="1"/>
  </w:num>
  <w:num w:numId="273">
    <w:abstractNumId w:val="205"/>
  </w:num>
  <w:num w:numId="274">
    <w:abstractNumId w:val="68"/>
  </w:num>
  <w:num w:numId="275">
    <w:abstractNumId w:val="356"/>
  </w:num>
  <w:num w:numId="276">
    <w:abstractNumId w:val="74"/>
  </w:num>
  <w:num w:numId="277">
    <w:abstractNumId w:val="83"/>
  </w:num>
  <w:num w:numId="278">
    <w:abstractNumId w:val="322"/>
  </w:num>
  <w:num w:numId="279">
    <w:abstractNumId w:val="206"/>
  </w:num>
  <w:num w:numId="280">
    <w:abstractNumId w:val="152"/>
  </w:num>
  <w:num w:numId="281">
    <w:abstractNumId w:val="48"/>
  </w:num>
  <w:num w:numId="282">
    <w:abstractNumId w:val="308"/>
  </w:num>
  <w:num w:numId="283">
    <w:abstractNumId w:val="38"/>
  </w:num>
  <w:num w:numId="284">
    <w:abstractNumId w:val="291"/>
  </w:num>
  <w:num w:numId="285">
    <w:abstractNumId w:val="187"/>
  </w:num>
  <w:num w:numId="286">
    <w:abstractNumId w:val="215"/>
  </w:num>
  <w:num w:numId="287">
    <w:abstractNumId w:val="75"/>
  </w:num>
  <w:num w:numId="288">
    <w:abstractNumId w:val="236"/>
  </w:num>
  <w:num w:numId="289">
    <w:abstractNumId w:val="130"/>
  </w:num>
  <w:num w:numId="290">
    <w:abstractNumId w:val="212"/>
  </w:num>
  <w:num w:numId="291">
    <w:abstractNumId w:val="114"/>
  </w:num>
  <w:num w:numId="292">
    <w:abstractNumId w:val="170"/>
  </w:num>
  <w:num w:numId="293">
    <w:abstractNumId w:val="106"/>
  </w:num>
  <w:num w:numId="294">
    <w:abstractNumId w:val="365"/>
  </w:num>
  <w:num w:numId="295">
    <w:abstractNumId w:val="6"/>
  </w:num>
  <w:num w:numId="296">
    <w:abstractNumId w:val="293"/>
  </w:num>
  <w:num w:numId="297">
    <w:abstractNumId w:val="99"/>
  </w:num>
  <w:num w:numId="298">
    <w:abstractNumId w:val="253"/>
  </w:num>
  <w:num w:numId="299">
    <w:abstractNumId w:val="329"/>
  </w:num>
  <w:num w:numId="300">
    <w:abstractNumId w:val="171"/>
  </w:num>
  <w:num w:numId="301">
    <w:abstractNumId w:val="36"/>
  </w:num>
  <w:num w:numId="302">
    <w:abstractNumId w:val="209"/>
  </w:num>
  <w:num w:numId="303">
    <w:abstractNumId w:val="123"/>
  </w:num>
  <w:num w:numId="304">
    <w:abstractNumId w:val="200"/>
  </w:num>
  <w:num w:numId="305">
    <w:abstractNumId w:val="336"/>
  </w:num>
  <w:num w:numId="306">
    <w:abstractNumId w:val="26"/>
  </w:num>
  <w:num w:numId="307">
    <w:abstractNumId w:val="251"/>
  </w:num>
  <w:num w:numId="308">
    <w:abstractNumId w:val="105"/>
  </w:num>
  <w:num w:numId="309">
    <w:abstractNumId w:val="319"/>
  </w:num>
  <w:num w:numId="310">
    <w:abstractNumId w:val="357"/>
  </w:num>
  <w:num w:numId="311">
    <w:abstractNumId w:val="20"/>
  </w:num>
  <w:num w:numId="312">
    <w:abstractNumId w:val="241"/>
  </w:num>
  <w:num w:numId="313">
    <w:abstractNumId w:val="335"/>
  </w:num>
  <w:num w:numId="314">
    <w:abstractNumId w:val="57"/>
  </w:num>
  <w:num w:numId="315">
    <w:abstractNumId w:val="113"/>
  </w:num>
  <w:num w:numId="316">
    <w:abstractNumId w:val="352"/>
  </w:num>
  <w:num w:numId="317">
    <w:abstractNumId w:val="89"/>
  </w:num>
  <w:num w:numId="318">
    <w:abstractNumId w:val="91"/>
  </w:num>
  <w:num w:numId="319">
    <w:abstractNumId w:val="250"/>
  </w:num>
  <w:num w:numId="320">
    <w:abstractNumId w:val="331"/>
  </w:num>
  <w:num w:numId="321">
    <w:abstractNumId w:val="11"/>
  </w:num>
  <w:num w:numId="322">
    <w:abstractNumId w:val="257"/>
  </w:num>
  <w:num w:numId="323">
    <w:abstractNumId w:val="363"/>
  </w:num>
  <w:num w:numId="324">
    <w:abstractNumId w:val="146"/>
  </w:num>
  <w:num w:numId="325">
    <w:abstractNumId w:val="226"/>
  </w:num>
  <w:num w:numId="326">
    <w:abstractNumId w:val="50"/>
  </w:num>
  <w:num w:numId="327">
    <w:abstractNumId w:val="191"/>
  </w:num>
  <w:num w:numId="328">
    <w:abstractNumId w:val="143"/>
  </w:num>
  <w:num w:numId="329">
    <w:abstractNumId w:val="298"/>
  </w:num>
  <w:num w:numId="330">
    <w:abstractNumId w:val="169"/>
  </w:num>
  <w:num w:numId="331">
    <w:abstractNumId w:val="178"/>
  </w:num>
  <w:num w:numId="332">
    <w:abstractNumId w:val="361"/>
  </w:num>
  <w:num w:numId="333">
    <w:abstractNumId w:val="338"/>
  </w:num>
  <w:num w:numId="334">
    <w:abstractNumId w:val="246"/>
  </w:num>
  <w:num w:numId="335">
    <w:abstractNumId w:val="364"/>
  </w:num>
  <w:num w:numId="336">
    <w:abstractNumId w:val="242"/>
  </w:num>
  <w:num w:numId="337">
    <w:abstractNumId w:val="305"/>
  </w:num>
  <w:num w:numId="338">
    <w:abstractNumId w:val="283"/>
  </w:num>
  <w:num w:numId="339">
    <w:abstractNumId w:val="102"/>
  </w:num>
  <w:num w:numId="340">
    <w:abstractNumId w:val="31"/>
  </w:num>
  <w:num w:numId="341">
    <w:abstractNumId w:val="132"/>
  </w:num>
  <w:num w:numId="342">
    <w:abstractNumId w:val="71"/>
  </w:num>
  <w:num w:numId="343">
    <w:abstractNumId w:val="92"/>
  </w:num>
  <w:num w:numId="344">
    <w:abstractNumId w:val="302"/>
  </w:num>
  <w:num w:numId="345">
    <w:abstractNumId w:val="184"/>
  </w:num>
  <w:num w:numId="346">
    <w:abstractNumId w:val="217"/>
  </w:num>
  <w:num w:numId="347">
    <w:abstractNumId w:val="98"/>
  </w:num>
  <w:num w:numId="348">
    <w:abstractNumId w:val="188"/>
  </w:num>
  <w:num w:numId="349">
    <w:abstractNumId w:val="141"/>
  </w:num>
  <w:num w:numId="350">
    <w:abstractNumId w:val="149"/>
  </w:num>
  <w:num w:numId="351">
    <w:abstractNumId w:val="358"/>
  </w:num>
  <w:num w:numId="352">
    <w:abstractNumId w:val="90"/>
  </w:num>
  <w:num w:numId="353">
    <w:abstractNumId w:val="115"/>
  </w:num>
  <w:num w:numId="354">
    <w:abstractNumId w:val="108"/>
  </w:num>
  <w:num w:numId="355">
    <w:abstractNumId w:val="294"/>
  </w:num>
  <w:num w:numId="356">
    <w:abstractNumId w:val="334"/>
  </w:num>
  <w:num w:numId="357">
    <w:abstractNumId w:val="269"/>
  </w:num>
  <w:num w:numId="358">
    <w:abstractNumId w:val="323"/>
  </w:num>
  <w:num w:numId="359">
    <w:abstractNumId w:val="116"/>
  </w:num>
  <w:num w:numId="360">
    <w:abstractNumId w:val="256"/>
  </w:num>
  <w:num w:numId="361">
    <w:abstractNumId w:val="59"/>
  </w:num>
  <w:num w:numId="362">
    <w:abstractNumId w:val="67"/>
  </w:num>
  <w:num w:numId="363">
    <w:abstractNumId w:val="122"/>
  </w:num>
  <w:num w:numId="364">
    <w:abstractNumId w:val="137"/>
    <w:lvlOverride w:ilvl="0">
      <w:startOverride w:val="1"/>
    </w:lvlOverride>
  </w:num>
  <w:num w:numId="365">
    <w:abstractNumId w:val="107"/>
  </w:num>
  <w:num w:numId="366">
    <w:abstractNumId w:val="177"/>
  </w:num>
  <w:num w:numId="367">
    <w:abstractNumId w:val="163"/>
  </w:num>
  <w:numIdMacAtCleanup w:val="3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2C"/>
    <w:rsid w:val="00000679"/>
    <w:rsid w:val="0000136C"/>
    <w:rsid w:val="00011872"/>
    <w:rsid w:val="000119E3"/>
    <w:rsid w:val="00011A01"/>
    <w:rsid w:val="00011BCD"/>
    <w:rsid w:val="000128B8"/>
    <w:rsid w:val="00012DB4"/>
    <w:rsid w:val="00012E51"/>
    <w:rsid w:val="00013548"/>
    <w:rsid w:val="00014F14"/>
    <w:rsid w:val="000154C5"/>
    <w:rsid w:val="000203DE"/>
    <w:rsid w:val="00020E60"/>
    <w:rsid w:val="000213E9"/>
    <w:rsid w:val="00022C1C"/>
    <w:rsid w:val="00024EE0"/>
    <w:rsid w:val="00025AF1"/>
    <w:rsid w:val="00025D95"/>
    <w:rsid w:val="00025FF3"/>
    <w:rsid w:val="000260A1"/>
    <w:rsid w:val="00026250"/>
    <w:rsid w:val="00027230"/>
    <w:rsid w:val="00031F6A"/>
    <w:rsid w:val="000327EE"/>
    <w:rsid w:val="00033434"/>
    <w:rsid w:val="000350BB"/>
    <w:rsid w:val="0003557C"/>
    <w:rsid w:val="00035925"/>
    <w:rsid w:val="00036D77"/>
    <w:rsid w:val="00041237"/>
    <w:rsid w:val="00041771"/>
    <w:rsid w:val="000422AA"/>
    <w:rsid w:val="000436E2"/>
    <w:rsid w:val="00044DE7"/>
    <w:rsid w:val="00045DEC"/>
    <w:rsid w:val="000464C6"/>
    <w:rsid w:val="00046F7C"/>
    <w:rsid w:val="000504B2"/>
    <w:rsid w:val="00050A6A"/>
    <w:rsid w:val="0005153F"/>
    <w:rsid w:val="00051AD7"/>
    <w:rsid w:val="00053309"/>
    <w:rsid w:val="00056DDB"/>
    <w:rsid w:val="0006042F"/>
    <w:rsid w:val="00060844"/>
    <w:rsid w:val="000608F2"/>
    <w:rsid w:val="00061ABE"/>
    <w:rsid w:val="00062961"/>
    <w:rsid w:val="00062B52"/>
    <w:rsid w:val="00063FF2"/>
    <w:rsid w:val="00064375"/>
    <w:rsid w:val="00064433"/>
    <w:rsid w:val="00064DD0"/>
    <w:rsid w:val="00066DC1"/>
    <w:rsid w:val="00067202"/>
    <w:rsid w:val="00074273"/>
    <w:rsid w:val="00074A99"/>
    <w:rsid w:val="00075591"/>
    <w:rsid w:val="000760D0"/>
    <w:rsid w:val="00076481"/>
    <w:rsid w:val="00077DB9"/>
    <w:rsid w:val="00082EFD"/>
    <w:rsid w:val="000871A4"/>
    <w:rsid w:val="0009097D"/>
    <w:rsid w:val="00095AB5"/>
    <w:rsid w:val="00096EE3"/>
    <w:rsid w:val="000A0BD4"/>
    <w:rsid w:val="000A10BA"/>
    <w:rsid w:val="000A40A1"/>
    <w:rsid w:val="000A5846"/>
    <w:rsid w:val="000A61BC"/>
    <w:rsid w:val="000A6517"/>
    <w:rsid w:val="000B0167"/>
    <w:rsid w:val="000B3B6E"/>
    <w:rsid w:val="000B531A"/>
    <w:rsid w:val="000B6083"/>
    <w:rsid w:val="000B61C1"/>
    <w:rsid w:val="000B6F6A"/>
    <w:rsid w:val="000B76A3"/>
    <w:rsid w:val="000B7704"/>
    <w:rsid w:val="000C2148"/>
    <w:rsid w:val="000C2A54"/>
    <w:rsid w:val="000C42B7"/>
    <w:rsid w:val="000C4EB8"/>
    <w:rsid w:val="000C5740"/>
    <w:rsid w:val="000C5894"/>
    <w:rsid w:val="000C5BE6"/>
    <w:rsid w:val="000C5FF8"/>
    <w:rsid w:val="000C642D"/>
    <w:rsid w:val="000C687E"/>
    <w:rsid w:val="000D029E"/>
    <w:rsid w:val="000D16D8"/>
    <w:rsid w:val="000D2EDC"/>
    <w:rsid w:val="000D3133"/>
    <w:rsid w:val="000D6200"/>
    <w:rsid w:val="000D65DD"/>
    <w:rsid w:val="000D6902"/>
    <w:rsid w:val="000E017D"/>
    <w:rsid w:val="000E328C"/>
    <w:rsid w:val="000E3699"/>
    <w:rsid w:val="000E5674"/>
    <w:rsid w:val="000E743E"/>
    <w:rsid w:val="000E785D"/>
    <w:rsid w:val="000F164A"/>
    <w:rsid w:val="000F2322"/>
    <w:rsid w:val="000F4D23"/>
    <w:rsid w:val="000F53F7"/>
    <w:rsid w:val="000F57E7"/>
    <w:rsid w:val="000F5A92"/>
    <w:rsid w:val="000F6CA6"/>
    <w:rsid w:val="000F7B6D"/>
    <w:rsid w:val="00100441"/>
    <w:rsid w:val="001015F7"/>
    <w:rsid w:val="001033E8"/>
    <w:rsid w:val="00103B72"/>
    <w:rsid w:val="00110A52"/>
    <w:rsid w:val="00110C24"/>
    <w:rsid w:val="00110D60"/>
    <w:rsid w:val="00110D64"/>
    <w:rsid w:val="001111BB"/>
    <w:rsid w:val="00112C52"/>
    <w:rsid w:val="0011512F"/>
    <w:rsid w:val="0011549F"/>
    <w:rsid w:val="001160A9"/>
    <w:rsid w:val="00116153"/>
    <w:rsid w:val="001173DA"/>
    <w:rsid w:val="001209B8"/>
    <w:rsid w:val="00120FEF"/>
    <w:rsid w:val="0012322F"/>
    <w:rsid w:val="0012490C"/>
    <w:rsid w:val="00125B69"/>
    <w:rsid w:val="00125BA1"/>
    <w:rsid w:val="00127303"/>
    <w:rsid w:val="00132111"/>
    <w:rsid w:val="00132F24"/>
    <w:rsid w:val="001335F4"/>
    <w:rsid w:val="00133EEE"/>
    <w:rsid w:val="00140FEA"/>
    <w:rsid w:val="001412BF"/>
    <w:rsid w:val="00142410"/>
    <w:rsid w:val="00144488"/>
    <w:rsid w:val="00145A38"/>
    <w:rsid w:val="00146078"/>
    <w:rsid w:val="00147260"/>
    <w:rsid w:val="001479FF"/>
    <w:rsid w:val="001506B5"/>
    <w:rsid w:val="00153182"/>
    <w:rsid w:val="00153449"/>
    <w:rsid w:val="0015567A"/>
    <w:rsid w:val="001578A2"/>
    <w:rsid w:val="00160D40"/>
    <w:rsid w:val="0016207D"/>
    <w:rsid w:val="001622F4"/>
    <w:rsid w:val="00163AE0"/>
    <w:rsid w:val="00166D60"/>
    <w:rsid w:val="00171B84"/>
    <w:rsid w:val="00172883"/>
    <w:rsid w:val="00173E49"/>
    <w:rsid w:val="00174C42"/>
    <w:rsid w:val="00177966"/>
    <w:rsid w:val="00177CC8"/>
    <w:rsid w:val="0018545B"/>
    <w:rsid w:val="00190050"/>
    <w:rsid w:val="001904E8"/>
    <w:rsid w:val="001907EF"/>
    <w:rsid w:val="001939F4"/>
    <w:rsid w:val="00195739"/>
    <w:rsid w:val="001971E6"/>
    <w:rsid w:val="00197675"/>
    <w:rsid w:val="001A05C9"/>
    <w:rsid w:val="001A0C3E"/>
    <w:rsid w:val="001A0EF9"/>
    <w:rsid w:val="001A1D25"/>
    <w:rsid w:val="001A2BF1"/>
    <w:rsid w:val="001A6A46"/>
    <w:rsid w:val="001A6F15"/>
    <w:rsid w:val="001B0863"/>
    <w:rsid w:val="001B0AB9"/>
    <w:rsid w:val="001B1586"/>
    <w:rsid w:val="001B175D"/>
    <w:rsid w:val="001B1DD1"/>
    <w:rsid w:val="001B4B22"/>
    <w:rsid w:val="001B6B99"/>
    <w:rsid w:val="001B70A0"/>
    <w:rsid w:val="001B774C"/>
    <w:rsid w:val="001C00FC"/>
    <w:rsid w:val="001C09C3"/>
    <w:rsid w:val="001C0B62"/>
    <w:rsid w:val="001C1C56"/>
    <w:rsid w:val="001C1C98"/>
    <w:rsid w:val="001C1D51"/>
    <w:rsid w:val="001C1F67"/>
    <w:rsid w:val="001C2ADD"/>
    <w:rsid w:val="001C4ED2"/>
    <w:rsid w:val="001C7491"/>
    <w:rsid w:val="001D0850"/>
    <w:rsid w:val="001D0FA2"/>
    <w:rsid w:val="001D3443"/>
    <w:rsid w:val="001E1BF7"/>
    <w:rsid w:val="001E2D17"/>
    <w:rsid w:val="001E3FAF"/>
    <w:rsid w:val="001E5930"/>
    <w:rsid w:val="001E7A51"/>
    <w:rsid w:val="001E7B11"/>
    <w:rsid w:val="001E7F50"/>
    <w:rsid w:val="001F1EF1"/>
    <w:rsid w:val="001F2FA2"/>
    <w:rsid w:val="001F50BE"/>
    <w:rsid w:val="001F5867"/>
    <w:rsid w:val="001F6519"/>
    <w:rsid w:val="001F79F8"/>
    <w:rsid w:val="001F7B6B"/>
    <w:rsid w:val="0020023D"/>
    <w:rsid w:val="00200282"/>
    <w:rsid w:val="002007B5"/>
    <w:rsid w:val="002017E2"/>
    <w:rsid w:val="00202CFC"/>
    <w:rsid w:val="00204AF8"/>
    <w:rsid w:val="00204F40"/>
    <w:rsid w:val="002079F2"/>
    <w:rsid w:val="00212195"/>
    <w:rsid w:val="00214819"/>
    <w:rsid w:val="00216136"/>
    <w:rsid w:val="00223B30"/>
    <w:rsid w:val="0022531F"/>
    <w:rsid w:val="00226E92"/>
    <w:rsid w:val="002305B9"/>
    <w:rsid w:val="00230E2C"/>
    <w:rsid w:val="002311A5"/>
    <w:rsid w:val="00231447"/>
    <w:rsid w:val="0023186C"/>
    <w:rsid w:val="00234327"/>
    <w:rsid w:val="00234ADE"/>
    <w:rsid w:val="0023616E"/>
    <w:rsid w:val="002361FD"/>
    <w:rsid w:val="00236A3B"/>
    <w:rsid w:val="00241582"/>
    <w:rsid w:val="00241727"/>
    <w:rsid w:val="0024338D"/>
    <w:rsid w:val="002450CD"/>
    <w:rsid w:val="00245548"/>
    <w:rsid w:val="00251362"/>
    <w:rsid w:val="002527B8"/>
    <w:rsid w:val="00252D3A"/>
    <w:rsid w:val="00253365"/>
    <w:rsid w:val="002538FE"/>
    <w:rsid w:val="0025558B"/>
    <w:rsid w:val="002567DD"/>
    <w:rsid w:val="002568DA"/>
    <w:rsid w:val="00257BA3"/>
    <w:rsid w:val="002610F6"/>
    <w:rsid w:val="00263C80"/>
    <w:rsid w:val="00264737"/>
    <w:rsid w:val="00264FE0"/>
    <w:rsid w:val="002712F7"/>
    <w:rsid w:val="0027137E"/>
    <w:rsid w:val="00271763"/>
    <w:rsid w:val="00274C20"/>
    <w:rsid w:val="0027520A"/>
    <w:rsid w:val="00275F02"/>
    <w:rsid w:val="002772E4"/>
    <w:rsid w:val="002778E5"/>
    <w:rsid w:val="00277E64"/>
    <w:rsid w:val="0028033B"/>
    <w:rsid w:val="00281361"/>
    <w:rsid w:val="00281397"/>
    <w:rsid w:val="00284B8C"/>
    <w:rsid w:val="00285FB2"/>
    <w:rsid w:val="002871A9"/>
    <w:rsid w:val="0029026E"/>
    <w:rsid w:val="00290B40"/>
    <w:rsid w:val="002915C9"/>
    <w:rsid w:val="002924B3"/>
    <w:rsid w:val="002927D2"/>
    <w:rsid w:val="00293561"/>
    <w:rsid w:val="00294647"/>
    <w:rsid w:val="00295291"/>
    <w:rsid w:val="002953FB"/>
    <w:rsid w:val="002958D0"/>
    <w:rsid w:val="002A001A"/>
    <w:rsid w:val="002A032C"/>
    <w:rsid w:val="002A0799"/>
    <w:rsid w:val="002A12CE"/>
    <w:rsid w:val="002A26AE"/>
    <w:rsid w:val="002A3742"/>
    <w:rsid w:val="002A4197"/>
    <w:rsid w:val="002A5657"/>
    <w:rsid w:val="002A6358"/>
    <w:rsid w:val="002A67EF"/>
    <w:rsid w:val="002A67F4"/>
    <w:rsid w:val="002B033F"/>
    <w:rsid w:val="002B12D6"/>
    <w:rsid w:val="002B1348"/>
    <w:rsid w:val="002B57DE"/>
    <w:rsid w:val="002B6E31"/>
    <w:rsid w:val="002C14CB"/>
    <w:rsid w:val="002C1BD0"/>
    <w:rsid w:val="002C3C92"/>
    <w:rsid w:val="002C4ED5"/>
    <w:rsid w:val="002C6763"/>
    <w:rsid w:val="002C7AA9"/>
    <w:rsid w:val="002D0E68"/>
    <w:rsid w:val="002D1086"/>
    <w:rsid w:val="002D3EA9"/>
    <w:rsid w:val="002D575D"/>
    <w:rsid w:val="002E0C34"/>
    <w:rsid w:val="002E1F82"/>
    <w:rsid w:val="002E21A5"/>
    <w:rsid w:val="002E6DED"/>
    <w:rsid w:val="002F00E9"/>
    <w:rsid w:val="002F1043"/>
    <w:rsid w:val="002F1600"/>
    <w:rsid w:val="002F2B08"/>
    <w:rsid w:val="002F4D24"/>
    <w:rsid w:val="003054EA"/>
    <w:rsid w:val="00305D54"/>
    <w:rsid w:val="0030623F"/>
    <w:rsid w:val="00307E6E"/>
    <w:rsid w:val="00312DDB"/>
    <w:rsid w:val="00314ABA"/>
    <w:rsid w:val="0031539A"/>
    <w:rsid w:val="003160CC"/>
    <w:rsid w:val="00316A8A"/>
    <w:rsid w:val="00316D1A"/>
    <w:rsid w:val="00321CCF"/>
    <w:rsid w:val="0032423C"/>
    <w:rsid w:val="00324950"/>
    <w:rsid w:val="00326C44"/>
    <w:rsid w:val="00327759"/>
    <w:rsid w:val="00327E20"/>
    <w:rsid w:val="0033125B"/>
    <w:rsid w:val="00331549"/>
    <w:rsid w:val="0033207D"/>
    <w:rsid w:val="003330D8"/>
    <w:rsid w:val="00334C5A"/>
    <w:rsid w:val="0033673F"/>
    <w:rsid w:val="003379C2"/>
    <w:rsid w:val="00340975"/>
    <w:rsid w:val="00340F56"/>
    <w:rsid w:val="003454D7"/>
    <w:rsid w:val="003463BC"/>
    <w:rsid w:val="00346A1C"/>
    <w:rsid w:val="00346DCE"/>
    <w:rsid w:val="00347141"/>
    <w:rsid w:val="0035032E"/>
    <w:rsid w:val="0035275E"/>
    <w:rsid w:val="00353757"/>
    <w:rsid w:val="00353762"/>
    <w:rsid w:val="00356A87"/>
    <w:rsid w:val="00356EE1"/>
    <w:rsid w:val="0035719E"/>
    <w:rsid w:val="00357461"/>
    <w:rsid w:val="00360871"/>
    <w:rsid w:val="00362DC2"/>
    <w:rsid w:val="00362E90"/>
    <w:rsid w:val="00363443"/>
    <w:rsid w:val="003641D4"/>
    <w:rsid w:val="00365D47"/>
    <w:rsid w:val="00370654"/>
    <w:rsid w:val="00370C1D"/>
    <w:rsid w:val="00371782"/>
    <w:rsid w:val="00371D3D"/>
    <w:rsid w:val="00371E60"/>
    <w:rsid w:val="00372B78"/>
    <w:rsid w:val="00374C06"/>
    <w:rsid w:val="0037502C"/>
    <w:rsid w:val="003764B7"/>
    <w:rsid w:val="00377F49"/>
    <w:rsid w:val="0038050D"/>
    <w:rsid w:val="003827A2"/>
    <w:rsid w:val="003836AD"/>
    <w:rsid w:val="00383D64"/>
    <w:rsid w:val="00384F9C"/>
    <w:rsid w:val="00385EB9"/>
    <w:rsid w:val="00386038"/>
    <w:rsid w:val="003868D3"/>
    <w:rsid w:val="00386E78"/>
    <w:rsid w:val="003874AD"/>
    <w:rsid w:val="0038794B"/>
    <w:rsid w:val="00391B65"/>
    <w:rsid w:val="003929B1"/>
    <w:rsid w:val="0039436F"/>
    <w:rsid w:val="00396C05"/>
    <w:rsid w:val="003A0535"/>
    <w:rsid w:val="003A3158"/>
    <w:rsid w:val="003A4D38"/>
    <w:rsid w:val="003A6DB1"/>
    <w:rsid w:val="003A7245"/>
    <w:rsid w:val="003B14CC"/>
    <w:rsid w:val="003B2925"/>
    <w:rsid w:val="003B30E0"/>
    <w:rsid w:val="003B32C6"/>
    <w:rsid w:val="003B3416"/>
    <w:rsid w:val="003B3A45"/>
    <w:rsid w:val="003B3C4B"/>
    <w:rsid w:val="003B3D09"/>
    <w:rsid w:val="003B4A31"/>
    <w:rsid w:val="003B75C6"/>
    <w:rsid w:val="003C00E7"/>
    <w:rsid w:val="003C11C0"/>
    <w:rsid w:val="003C4F6F"/>
    <w:rsid w:val="003C52DA"/>
    <w:rsid w:val="003C7035"/>
    <w:rsid w:val="003D1320"/>
    <w:rsid w:val="003D206C"/>
    <w:rsid w:val="003D4762"/>
    <w:rsid w:val="003D4B5C"/>
    <w:rsid w:val="003D606A"/>
    <w:rsid w:val="003D6AD4"/>
    <w:rsid w:val="003D7211"/>
    <w:rsid w:val="003D73B9"/>
    <w:rsid w:val="003E0A81"/>
    <w:rsid w:val="003E1E0F"/>
    <w:rsid w:val="003E27F6"/>
    <w:rsid w:val="003E63A7"/>
    <w:rsid w:val="003F340B"/>
    <w:rsid w:val="003F38E6"/>
    <w:rsid w:val="003F5981"/>
    <w:rsid w:val="003F5F39"/>
    <w:rsid w:val="003F6D72"/>
    <w:rsid w:val="003F6FCC"/>
    <w:rsid w:val="004008B8"/>
    <w:rsid w:val="00402CB7"/>
    <w:rsid w:val="0040339E"/>
    <w:rsid w:val="004047E9"/>
    <w:rsid w:val="00405831"/>
    <w:rsid w:val="004058D5"/>
    <w:rsid w:val="00406275"/>
    <w:rsid w:val="004107C8"/>
    <w:rsid w:val="004126D1"/>
    <w:rsid w:val="00412CB0"/>
    <w:rsid w:val="00412EB7"/>
    <w:rsid w:val="00414981"/>
    <w:rsid w:val="004152A3"/>
    <w:rsid w:val="00416EC5"/>
    <w:rsid w:val="00417C03"/>
    <w:rsid w:val="00417D19"/>
    <w:rsid w:val="00420022"/>
    <w:rsid w:val="004201D3"/>
    <w:rsid w:val="004201F5"/>
    <w:rsid w:val="00420E65"/>
    <w:rsid w:val="00421091"/>
    <w:rsid w:val="00421850"/>
    <w:rsid w:val="004239E9"/>
    <w:rsid w:val="00424D61"/>
    <w:rsid w:val="00424E39"/>
    <w:rsid w:val="00425BF2"/>
    <w:rsid w:val="004262D0"/>
    <w:rsid w:val="0043016B"/>
    <w:rsid w:val="00434009"/>
    <w:rsid w:val="00435CAC"/>
    <w:rsid w:val="004362C5"/>
    <w:rsid w:val="0044126F"/>
    <w:rsid w:val="00444B2A"/>
    <w:rsid w:val="004506DD"/>
    <w:rsid w:val="00451009"/>
    <w:rsid w:val="00457111"/>
    <w:rsid w:val="00457AAD"/>
    <w:rsid w:val="00457B43"/>
    <w:rsid w:val="004609A7"/>
    <w:rsid w:val="00470F91"/>
    <w:rsid w:val="0047149C"/>
    <w:rsid w:val="004725A7"/>
    <w:rsid w:val="004739E3"/>
    <w:rsid w:val="004746A8"/>
    <w:rsid w:val="00474BCB"/>
    <w:rsid w:val="004771B7"/>
    <w:rsid w:val="00482D28"/>
    <w:rsid w:val="0048332D"/>
    <w:rsid w:val="004833F5"/>
    <w:rsid w:val="00483A07"/>
    <w:rsid w:val="00484EDE"/>
    <w:rsid w:val="00485136"/>
    <w:rsid w:val="0048632D"/>
    <w:rsid w:val="00486546"/>
    <w:rsid w:val="00487150"/>
    <w:rsid w:val="00487B7F"/>
    <w:rsid w:val="00492ADF"/>
    <w:rsid w:val="00493B39"/>
    <w:rsid w:val="00494FB5"/>
    <w:rsid w:val="0049752B"/>
    <w:rsid w:val="004A0718"/>
    <w:rsid w:val="004A0E37"/>
    <w:rsid w:val="004A327F"/>
    <w:rsid w:val="004A32DA"/>
    <w:rsid w:val="004A3F70"/>
    <w:rsid w:val="004A5612"/>
    <w:rsid w:val="004A5C17"/>
    <w:rsid w:val="004B3D43"/>
    <w:rsid w:val="004B466C"/>
    <w:rsid w:val="004B63BB"/>
    <w:rsid w:val="004B7753"/>
    <w:rsid w:val="004B78EF"/>
    <w:rsid w:val="004B7CD8"/>
    <w:rsid w:val="004C0B3A"/>
    <w:rsid w:val="004C0E33"/>
    <w:rsid w:val="004C2D49"/>
    <w:rsid w:val="004C493D"/>
    <w:rsid w:val="004C7012"/>
    <w:rsid w:val="004D01FC"/>
    <w:rsid w:val="004D0F2C"/>
    <w:rsid w:val="004D2FAF"/>
    <w:rsid w:val="004D43CC"/>
    <w:rsid w:val="004D6DD5"/>
    <w:rsid w:val="004D7EEE"/>
    <w:rsid w:val="004E0F3A"/>
    <w:rsid w:val="004E4BB8"/>
    <w:rsid w:val="004E4F99"/>
    <w:rsid w:val="004E6BB1"/>
    <w:rsid w:val="004E71AD"/>
    <w:rsid w:val="004F0CAD"/>
    <w:rsid w:val="004F0D29"/>
    <w:rsid w:val="004F2B1B"/>
    <w:rsid w:val="004F4AE4"/>
    <w:rsid w:val="004F4B3A"/>
    <w:rsid w:val="004F4C87"/>
    <w:rsid w:val="004F5474"/>
    <w:rsid w:val="004F563A"/>
    <w:rsid w:val="00500A31"/>
    <w:rsid w:val="00501B82"/>
    <w:rsid w:val="00503876"/>
    <w:rsid w:val="00503F7C"/>
    <w:rsid w:val="00505AE4"/>
    <w:rsid w:val="005075DB"/>
    <w:rsid w:val="00511209"/>
    <w:rsid w:val="00513959"/>
    <w:rsid w:val="005149F0"/>
    <w:rsid w:val="005153EA"/>
    <w:rsid w:val="00515F8E"/>
    <w:rsid w:val="005203E3"/>
    <w:rsid w:val="00520609"/>
    <w:rsid w:val="00531660"/>
    <w:rsid w:val="005326D6"/>
    <w:rsid w:val="00533583"/>
    <w:rsid w:val="00533B1A"/>
    <w:rsid w:val="00533DA3"/>
    <w:rsid w:val="00534AB5"/>
    <w:rsid w:val="00536C4F"/>
    <w:rsid w:val="00537423"/>
    <w:rsid w:val="00541710"/>
    <w:rsid w:val="00541D5F"/>
    <w:rsid w:val="00543B0A"/>
    <w:rsid w:val="00547A88"/>
    <w:rsid w:val="00551324"/>
    <w:rsid w:val="00553663"/>
    <w:rsid w:val="00555443"/>
    <w:rsid w:val="00563266"/>
    <w:rsid w:val="0056477C"/>
    <w:rsid w:val="00565CC0"/>
    <w:rsid w:val="0056716D"/>
    <w:rsid w:val="00571EA0"/>
    <w:rsid w:val="00572B89"/>
    <w:rsid w:val="00572F10"/>
    <w:rsid w:val="00574241"/>
    <w:rsid w:val="00574922"/>
    <w:rsid w:val="005775D1"/>
    <w:rsid w:val="00580C64"/>
    <w:rsid w:val="00582C38"/>
    <w:rsid w:val="00582F1B"/>
    <w:rsid w:val="00583FCC"/>
    <w:rsid w:val="005844EE"/>
    <w:rsid w:val="00584CD3"/>
    <w:rsid w:val="00585255"/>
    <w:rsid w:val="005907EC"/>
    <w:rsid w:val="00591379"/>
    <w:rsid w:val="005928BA"/>
    <w:rsid w:val="00595528"/>
    <w:rsid w:val="00597866"/>
    <w:rsid w:val="005A0603"/>
    <w:rsid w:val="005A0A2A"/>
    <w:rsid w:val="005A30F0"/>
    <w:rsid w:val="005A3AE7"/>
    <w:rsid w:val="005A57EE"/>
    <w:rsid w:val="005B17BB"/>
    <w:rsid w:val="005B1C0B"/>
    <w:rsid w:val="005B53D2"/>
    <w:rsid w:val="005B55D6"/>
    <w:rsid w:val="005B5EF8"/>
    <w:rsid w:val="005B5F69"/>
    <w:rsid w:val="005B6C93"/>
    <w:rsid w:val="005B7179"/>
    <w:rsid w:val="005C31D9"/>
    <w:rsid w:val="005C340C"/>
    <w:rsid w:val="005C3637"/>
    <w:rsid w:val="005C57D6"/>
    <w:rsid w:val="005C7827"/>
    <w:rsid w:val="005C7B09"/>
    <w:rsid w:val="005D3B26"/>
    <w:rsid w:val="005D4B95"/>
    <w:rsid w:val="005D68C0"/>
    <w:rsid w:val="005E0297"/>
    <w:rsid w:val="005E0AD3"/>
    <w:rsid w:val="005E2AE0"/>
    <w:rsid w:val="005E366B"/>
    <w:rsid w:val="005E582C"/>
    <w:rsid w:val="005E6DD9"/>
    <w:rsid w:val="005F0D30"/>
    <w:rsid w:val="005F105C"/>
    <w:rsid w:val="005F3F98"/>
    <w:rsid w:val="005F7447"/>
    <w:rsid w:val="0060101C"/>
    <w:rsid w:val="00601A4F"/>
    <w:rsid w:val="006020C8"/>
    <w:rsid w:val="00603084"/>
    <w:rsid w:val="006058E4"/>
    <w:rsid w:val="00606101"/>
    <w:rsid w:val="006061A3"/>
    <w:rsid w:val="0060729A"/>
    <w:rsid w:val="0061218F"/>
    <w:rsid w:val="0061258E"/>
    <w:rsid w:val="00613411"/>
    <w:rsid w:val="00614785"/>
    <w:rsid w:val="006162B2"/>
    <w:rsid w:val="00616666"/>
    <w:rsid w:val="006168BC"/>
    <w:rsid w:val="00620ED9"/>
    <w:rsid w:val="00621DFA"/>
    <w:rsid w:val="00622FA7"/>
    <w:rsid w:val="00624937"/>
    <w:rsid w:val="00626C6E"/>
    <w:rsid w:val="00631FC5"/>
    <w:rsid w:val="00632403"/>
    <w:rsid w:val="00632A98"/>
    <w:rsid w:val="006338C3"/>
    <w:rsid w:val="00633A2F"/>
    <w:rsid w:val="00635554"/>
    <w:rsid w:val="006373A3"/>
    <w:rsid w:val="006400BA"/>
    <w:rsid w:val="006406B1"/>
    <w:rsid w:val="00640F66"/>
    <w:rsid w:val="00642965"/>
    <w:rsid w:val="00642EC7"/>
    <w:rsid w:val="0064353A"/>
    <w:rsid w:val="006444A2"/>
    <w:rsid w:val="006457BD"/>
    <w:rsid w:val="00646CCB"/>
    <w:rsid w:val="006500F5"/>
    <w:rsid w:val="006516CB"/>
    <w:rsid w:val="006524F4"/>
    <w:rsid w:val="0065370B"/>
    <w:rsid w:val="00654C4A"/>
    <w:rsid w:val="00656851"/>
    <w:rsid w:val="0065686C"/>
    <w:rsid w:val="0066145E"/>
    <w:rsid w:val="0066148F"/>
    <w:rsid w:val="00661702"/>
    <w:rsid w:val="006632DD"/>
    <w:rsid w:val="00663A4D"/>
    <w:rsid w:val="00663B42"/>
    <w:rsid w:val="00663FC6"/>
    <w:rsid w:val="006657E1"/>
    <w:rsid w:val="006700B7"/>
    <w:rsid w:val="0067045D"/>
    <w:rsid w:val="00671772"/>
    <w:rsid w:val="00673061"/>
    <w:rsid w:val="0067339C"/>
    <w:rsid w:val="006759B8"/>
    <w:rsid w:val="00677D5C"/>
    <w:rsid w:val="006819C9"/>
    <w:rsid w:val="00681A14"/>
    <w:rsid w:val="0068227F"/>
    <w:rsid w:val="006825F6"/>
    <w:rsid w:val="006830F0"/>
    <w:rsid w:val="00685DE3"/>
    <w:rsid w:val="0068637A"/>
    <w:rsid w:val="0068691C"/>
    <w:rsid w:val="0068753F"/>
    <w:rsid w:val="00690463"/>
    <w:rsid w:val="00692167"/>
    <w:rsid w:val="00692268"/>
    <w:rsid w:val="0069447A"/>
    <w:rsid w:val="00695ED2"/>
    <w:rsid w:val="00696EB2"/>
    <w:rsid w:val="00697A33"/>
    <w:rsid w:val="006A07B0"/>
    <w:rsid w:val="006A07FB"/>
    <w:rsid w:val="006A23F9"/>
    <w:rsid w:val="006A2611"/>
    <w:rsid w:val="006A40D7"/>
    <w:rsid w:val="006A5746"/>
    <w:rsid w:val="006A5F15"/>
    <w:rsid w:val="006A7276"/>
    <w:rsid w:val="006B2487"/>
    <w:rsid w:val="006B2617"/>
    <w:rsid w:val="006B2BD8"/>
    <w:rsid w:val="006B3C78"/>
    <w:rsid w:val="006C00D0"/>
    <w:rsid w:val="006C181C"/>
    <w:rsid w:val="006C2180"/>
    <w:rsid w:val="006C6E0F"/>
    <w:rsid w:val="006C7AA3"/>
    <w:rsid w:val="006D11A8"/>
    <w:rsid w:val="006D1A87"/>
    <w:rsid w:val="006D1CEB"/>
    <w:rsid w:val="006D29B1"/>
    <w:rsid w:val="006D6978"/>
    <w:rsid w:val="006D7917"/>
    <w:rsid w:val="006E2A1A"/>
    <w:rsid w:val="006E31AD"/>
    <w:rsid w:val="006E3AF7"/>
    <w:rsid w:val="006F0472"/>
    <w:rsid w:val="006F118C"/>
    <w:rsid w:val="006F1928"/>
    <w:rsid w:val="006F1AF3"/>
    <w:rsid w:val="006F2BBE"/>
    <w:rsid w:val="006F3033"/>
    <w:rsid w:val="006F4F57"/>
    <w:rsid w:val="006F5990"/>
    <w:rsid w:val="006F66BB"/>
    <w:rsid w:val="006F6C56"/>
    <w:rsid w:val="007007F2"/>
    <w:rsid w:val="00700FBA"/>
    <w:rsid w:val="0070173B"/>
    <w:rsid w:val="00703DE1"/>
    <w:rsid w:val="00705348"/>
    <w:rsid w:val="007103E6"/>
    <w:rsid w:val="00710B0E"/>
    <w:rsid w:val="007111ED"/>
    <w:rsid w:val="00720B60"/>
    <w:rsid w:val="00726CCF"/>
    <w:rsid w:val="00727126"/>
    <w:rsid w:val="007272BA"/>
    <w:rsid w:val="007317E4"/>
    <w:rsid w:val="007323D6"/>
    <w:rsid w:val="00732BB4"/>
    <w:rsid w:val="007346D6"/>
    <w:rsid w:val="00735068"/>
    <w:rsid w:val="00735E88"/>
    <w:rsid w:val="00736E67"/>
    <w:rsid w:val="00741C6C"/>
    <w:rsid w:val="0074410F"/>
    <w:rsid w:val="0074579D"/>
    <w:rsid w:val="00746B3C"/>
    <w:rsid w:val="00752958"/>
    <w:rsid w:val="007537B5"/>
    <w:rsid w:val="00753B11"/>
    <w:rsid w:val="00754254"/>
    <w:rsid w:val="007571C8"/>
    <w:rsid w:val="007571DE"/>
    <w:rsid w:val="00757292"/>
    <w:rsid w:val="0075729C"/>
    <w:rsid w:val="00760F5A"/>
    <w:rsid w:val="00763B6F"/>
    <w:rsid w:val="00766ADD"/>
    <w:rsid w:val="007676DA"/>
    <w:rsid w:val="00771140"/>
    <w:rsid w:val="00772B23"/>
    <w:rsid w:val="0077348E"/>
    <w:rsid w:val="00775470"/>
    <w:rsid w:val="007812B0"/>
    <w:rsid w:val="007824A5"/>
    <w:rsid w:val="0078262D"/>
    <w:rsid w:val="00783D28"/>
    <w:rsid w:val="00785DEC"/>
    <w:rsid w:val="00787CFE"/>
    <w:rsid w:val="007901F1"/>
    <w:rsid w:val="00790ECD"/>
    <w:rsid w:val="00791BF3"/>
    <w:rsid w:val="0079450F"/>
    <w:rsid w:val="007948A1"/>
    <w:rsid w:val="00795348"/>
    <w:rsid w:val="007957FC"/>
    <w:rsid w:val="0079642C"/>
    <w:rsid w:val="007966A6"/>
    <w:rsid w:val="00796D6E"/>
    <w:rsid w:val="007A04EC"/>
    <w:rsid w:val="007A4CB9"/>
    <w:rsid w:val="007A4F07"/>
    <w:rsid w:val="007B1519"/>
    <w:rsid w:val="007B20CB"/>
    <w:rsid w:val="007B43D9"/>
    <w:rsid w:val="007B6676"/>
    <w:rsid w:val="007B7AF4"/>
    <w:rsid w:val="007C1F28"/>
    <w:rsid w:val="007C21FE"/>
    <w:rsid w:val="007C2489"/>
    <w:rsid w:val="007C3443"/>
    <w:rsid w:val="007C39DF"/>
    <w:rsid w:val="007C3D14"/>
    <w:rsid w:val="007C5EA8"/>
    <w:rsid w:val="007C6FC4"/>
    <w:rsid w:val="007C7122"/>
    <w:rsid w:val="007D01E9"/>
    <w:rsid w:val="007D1E76"/>
    <w:rsid w:val="007D3B05"/>
    <w:rsid w:val="007D3FE9"/>
    <w:rsid w:val="007D7FE5"/>
    <w:rsid w:val="007E143C"/>
    <w:rsid w:val="007E2F85"/>
    <w:rsid w:val="007E337B"/>
    <w:rsid w:val="007E393B"/>
    <w:rsid w:val="007E3BF7"/>
    <w:rsid w:val="007E51D7"/>
    <w:rsid w:val="007E547D"/>
    <w:rsid w:val="007E6B56"/>
    <w:rsid w:val="007F2400"/>
    <w:rsid w:val="007F4047"/>
    <w:rsid w:val="007F463C"/>
    <w:rsid w:val="007F6525"/>
    <w:rsid w:val="008007BA"/>
    <w:rsid w:val="00800E7D"/>
    <w:rsid w:val="00801848"/>
    <w:rsid w:val="00804E2C"/>
    <w:rsid w:val="00810C8E"/>
    <w:rsid w:val="00811731"/>
    <w:rsid w:val="0081250A"/>
    <w:rsid w:val="008131B7"/>
    <w:rsid w:val="00813E68"/>
    <w:rsid w:val="00816666"/>
    <w:rsid w:val="008166C4"/>
    <w:rsid w:val="00817CEB"/>
    <w:rsid w:val="008220E3"/>
    <w:rsid w:val="00826755"/>
    <w:rsid w:val="00826C1D"/>
    <w:rsid w:val="00826E69"/>
    <w:rsid w:val="00827525"/>
    <w:rsid w:val="008301E4"/>
    <w:rsid w:val="0083064A"/>
    <w:rsid w:val="00831532"/>
    <w:rsid w:val="00831C01"/>
    <w:rsid w:val="008324B9"/>
    <w:rsid w:val="00833270"/>
    <w:rsid w:val="0083342F"/>
    <w:rsid w:val="0083353A"/>
    <w:rsid w:val="00834CE9"/>
    <w:rsid w:val="00834EF5"/>
    <w:rsid w:val="00834EFE"/>
    <w:rsid w:val="00836AD4"/>
    <w:rsid w:val="008507F2"/>
    <w:rsid w:val="00851DD2"/>
    <w:rsid w:val="00851F6E"/>
    <w:rsid w:val="0085311F"/>
    <w:rsid w:val="00853205"/>
    <w:rsid w:val="008548CE"/>
    <w:rsid w:val="0085671C"/>
    <w:rsid w:val="00856B5A"/>
    <w:rsid w:val="00857CB3"/>
    <w:rsid w:val="00857E85"/>
    <w:rsid w:val="00860089"/>
    <w:rsid w:val="008600F7"/>
    <w:rsid w:val="00860D74"/>
    <w:rsid w:val="00861034"/>
    <w:rsid w:val="00867A27"/>
    <w:rsid w:val="00867ECB"/>
    <w:rsid w:val="00875678"/>
    <w:rsid w:val="00883EA6"/>
    <w:rsid w:val="00885FFE"/>
    <w:rsid w:val="00890595"/>
    <w:rsid w:val="00890774"/>
    <w:rsid w:val="008909B3"/>
    <w:rsid w:val="00892DC8"/>
    <w:rsid w:val="00893CDB"/>
    <w:rsid w:val="00895F28"/>
    <w:rsid w:val="008A2BBA"/>
    <w:rsid w:val="008A2CC8"/>
    <w:rsid w:val="008A4175"/>
    <w:rsid w:val="008A5B21"/>
    <w:rsid w:val="008B02CC"/>
    <w:rsid w:val="008B1266"/>
    <w:rsid w:val="008B2141"/>
    <w:rsid w:val="008B2C1B"/>
    <w:rsid w:val="008B2D37"/>
    <w:rsid w:val="008B3322"/>
    <w:rsid w:val="008B61CB"/>
    <w:rsid w:val="008C09CB"/>
    <w:rsid w:val="008C10A7"/>
    <w:rsid w:val="008C11B5"/>
    <w:rsid w:val="008C1B04"/>
    <w:rsid w:val="008C1B5B"/>
    <w:rsid w:val="008C38FC"/>
    <w:rsid w:val="008C4907"/>
    <w:rsid w:val="008C5176"/>
    <w:rsid w:val="008C5465"/>
    <w:rsid w:val="008C7EFE"/>
    <w:rsid w:val="008D0174"/>
    <w:rsid w:val="008D17BD"/>
    <w:rsid w:val="008D4CF8"/>
    <w:rsid w:val="008D5B91"/>
    <w:rsid w:val="008D69E9"/>
    <w:rsid w:val="008D7B9D"/>
    <w:rsid w:val="008E0496"/>
    <w:rsid w:val="008E1065"/>
    <w:rsid w:val="008E106B"/>
    <w:rsid w:val="008E26BD"/>
    <w:rsid w:val="008E4791"/>
    <w:rsid w:val="008E773A"/>
    <w:rsid w:val="008E77C5"/>
    <w:rsid w:val="008F09D6"/>
    <w:rsid w:val="008F0A32"/>
    <w:rsid w:val="008F1F22"/>
    <w:rsid w:val="008F268E"/>
    <w:rsid w:val="008F3A90"/>
    <w:rsid w:val="008F4C7A"/>
    <w:rsid w:val="008F4CFA"/>
    <w:rsid w:val="008F7656"/>
    <w:rsid w:val="00901360"/>
    <w:rsid w:val="00901FC4"/>
    <w:rsid w:val="00902886"/>
    <w:rsid w:val="009037A3"/>
    <w:rsid w:val="00906F5F"/>
    <w:rsid w:val="00910FE7"/>
    <w:rsid w:val="009118B4"/>
    <w:rsid w:val="009119CD"/>
    <w:rsid w:val="00914DF0"/>
    <w:rsid w:val="0091582D"/>
    <w:rsid w:val="00915D53"/>
    <w:rsid w:val="0091621F"/>
    <w:rsid w:val="00916C34"/>
    <w:rsid w:val="009214CE"/>
    <w:rsid w:val="009227E4"/>
    <w:rsid w:val="00926570"/>
    <w:rsid w:val="0092660B"/>
    <w:rsid w:val="009271C9"/>
    <w:rsid w:val="00932FE5"/>
    <w:rsid w:val="009340D7"/>
    <w:rsid w:val="00936B2E"/>
    <w:rsid w:val="00937C31"/>
    <w:rsid w:val="00937EC6"/>
    <w:rsid w:val="00940640"/>
    <w:rsid w:val="009451FD"/>
    <w:rsid w:val="00945618"/>
    <w:rsid w:val="00945E4D"/>
    <w:rsid w:val="00950D8A"/>
    <w:rsid w:val="0095161A"/>
    <w:rsid w:val="00951A06"/>
    <w:rsid w:val="009557E5"/>
    <w:rsid w:val="00955C96"/>
    <w:rsid w:val="009574D9"/>
    <w:rsid w:val="00961195"/>
    <w:rsid w:val="0096505F"/>
    <w:rsid w:val="00965DA7"/>
    <w:rsid w:val="009672B3"/>
    <w:rsid w:val="0097019C"/>
    <w:rsid w:val="009725C9"/>
    <w:rsid w:val="0097308B"/>
    <w:rsid w:val="00973618"/>
    <w:rsid w:val="00975DE4"/>
    <w:rsid w:val="00976FF4"/>
    <w:rsid w:val="00977103"/>
    <w:rsid w:val="00980459"/>
    <w:rsid w:val="009814C6"/>
    <w:rsid w:val="00981562"/>
    <w:rsid w:val="009816DA"/>
    <w:rsid w:val="00982363"/>
    <w:rsid w:val="00982EF7"/>
    <w:rsid w:val="00985168"/>
    <w:rsid w:val="009879F4"/>
    <w:rsid w:val="00990916"/>
    <w:rsid w:val="00992394"/>
    <w:rsid w:val="009923F2"/>
    <w:rsid w:val="00992BE8"/>
    <w:rsid w:val="00992EEE"/>
    <w:rsid w:val="009970AE"/>
    <w:rsid w:val="00997594"/>
    <w:rsid w:val="009A1CD1"/>
    <w:rsid w:val="009A1F20"/>
    <w:rsid w:val="009A2564"/>
    <w:rsid w:val="009A2E4C"/>
    <w:rsid w:val="009A3B71"/>
    <w:rsid w:val="009A44AD"/>
    <w:rsid w:val="009A453D"/>
    <w:rsid w:val="009B1C18"/>
    <w:rsid w:val="009B334E"/>
    <w:rsid w:val="009B3A6A"/>
    <w:rsid w:val="009B58B2"/>
    <w:rsid w:val="009B6273"/>
    <w:rsid w:val="009B64B1"/>
    <w:rsid w:val="009B7369"/>
    <w:rsid w:val="009C2826"/>
    <w:rsid w:val="009C35E7"/>
    <w:rsid w:val="009C5A66"/>
    <w:rsid w:val="009C5BCD"/>
    <w:rsid w:val="009C6B82"/>
    <w:rsid w:val="009C73ED"/>
    <w:rsid w:val="009C7E6D"/>
    <w:rsid w:val="009D0FD5"/>
    <w:rsid w:val="009D1330"/>
    <w:rsid w:val="009D177C"/>
    <w:rsid w:val="009D277B"/>
    <w:rsid w:val="009D315B"/>
    <w:rsid w:val="009D36ED"/>
    <w:rsid w:val="009D65AC"/>
    <w:rsid w:val="009D683F"/>
    <w:rsid w:val="009D70E8"/>
    <w:rsid w:val="009E04B3"/>
    <w:rsid w:val="009E1176"/>
    <w:rsid w:val="009E167C"/>
    <w:rsid w:val="009E1C8F"/>
    <w:rsid w:val="009E1D21"/>
    <w:rsid w:val="009E40E7"/>
    <w:rsid w:val="009E5879"/>
    <w:rsid w:val="009E5903"/>
    <w:rsid w:val="009E6007"/>
    <w:rsid w:val="009E6C50"/>
    <w:rsid w:val="009F403E"/>
    <w:rsid w:val="009F51E8"/>
    <w:rsid w:val="009F5D31"/>
    <w:rsid w:val="009F6021"/>
    <w:rsid w:val="009F6D1E"/>
    <w:rsid w:val="00A007B6"/>
    <w:rsid w:val="00A0092B"/>
    <w:rsid w:val="00A00D8A"/>
    <w:rsid w:val="00A03978"/>
    <w:rsid w:val="00A03EA3"/>
    <w:rsid w:val="00A03EEB"/>
    <w:rsid w:val="00A04E8A"/>
    <w:rsid w:val="00A06406"/>
    <w:rsid w:val="00A0712E"/>
    <w:rsid w:val="00A12664"/>
    <w:rsid w:val="00A12BC3"/>
    <w:rsid w:val="00A12CF5"/>
    <w:rsid w:val="00A14037"/>
    <w:rsid w:val="00A14BF6"/>
    <w:rsid w:val="00A177A5"/>
    <w:rsid w:val="00A20A2A"/>
    <w:rsid w:val="00A22954"/>
    <w:rsid w:val="00A235D9"/>
    <w:rsid w:val="00A2373E"/>
    <w:rsid w:val="00A24C96"/>
    <w:rsid w:val="00A317B9"/>
    <w:rsid w:val="00A350EC"/>
    <w:rsid w:val="00A35173"/>
    <w:rsid w:val="00A369D2"/>
    <w:rsid w:val="00A37934"/>
    <w:rsid w:val="00A41F47"/>
    <w:rsid w:val="00A4273D"/>
    <w:rsid w:val="00A449CA"/>
    <w:rsid w:val="00A5056A"/>
    <w:rsid w:val="00A51F38"/>
    <w:rsid w:val="00A52B9B"/>
    <w:rsid w:val="00A539E2"/>
    <w:rsid w:val="00A53A2E"/>
    <w:rsid w:val="00A55702"/>
    <w:rsid w:val="00A60E65"/>
    <w:rsid w:val="00A66AD5"/>
    <w:rsid w:val="00A67153"/>
    <w:rsid w:val="00A67E1C"/>
    <w:rsid w:val="00A70E22"/>
    <w:rsid w:val="00A7101F"/>
    <w:rsid w:val="00A710A4"/>
    <w:rsid w:val="00A73B82"/>
    <w:rsid w:val="00A73D4B"/>
    <w:rsid w:val="00A74528"/>
    <w:rsid w:val="00A7461A"/>
    <w:rsid w:val="00A7463A"/>
    <w:rsid w:val="00A75611"/>
    <w:rsid w:val="00A76629"/>
    <w:rsid w:val="00A77C13"/>
    <w:rsid w:val="00A77FE6"/>
    <w:rsid w:val="00A81316"/>
    <w:rsid w:val="00A82FED"/>
    <w:rsid w:val="00A849D9"/>
    <w:rsid w:val="00A85E2B"/>
    <w:rsid w:val="00A867E1"/>
    <w:rsid w:val="00A87C4A"/>
    <w:rsid w:val="00A93C1C"/>
    <w:rsid w:val="00A943C8"/>
    <w:rsid w:val="00A9542F"/>
    <w:rsid w:val="00A95AA0"/>
    <w:rsid w:val="00AA0546"/>
    <w:rsid w:val="00AA066A"/>
    <w:rsid w:val="00AA145B"/>
    <w:rsid w:val="00AA5537"/>
    <w:rsid w:val="00AA5770"/>
    <w:rsid w:val="00AA57D4"/>
    <w:rsid w:val="00AA6806"/>
    <w:rsid w:val="00AA703B"/>
    <w:rsid w:val="00AA7181"/>
    <w:rsid w:val="00AA7AC3"/>
    <w:rsid w:val="00AB07BE"/>
    <w:rsid w:val="00AB0AFB"/>
    <w:rsid w:val="00AB10BF"/>
    <w:rsid w:val="00AB1E8F"/>
    <w:rsid w:val="00AB5F82"/>
    <w:rsid w:val="00AB66A4"/>
    <w:rsid w:val="00AB6EE4"/>
    <w:rsid w:val="00AC541C"/>
    <w:rsid w:val="00AC6FE9"/>
    <w:rsid w:val="00AC7AC3"/>
    <w:rsid w:val="00AD05CB"/>
    <w:rsid w:val="00AD3184"/>
    <w:rsid w:val="00AD354B"/>
    <w:rsid w:val="00AD61AD"/>
    <w:rsid w:val="00AD6523"/>
    <w:rsid w:val="00AE1C1F"/>
    <w:rsid w:val="00AE3927"/>
    <w:rsid w:val="00AE48F4"/>
    <w:rsid w:val="00AE6385"/>
    <w:rsid w:val="00AE69F3"/>
    <w:rsid w:val="00AF1E32"/>
    <w:rsid w:val="00AF334E"/>
    <w:rsid w:val="00AF6DBE"/>
    <w:rsid w:val="00AF745C"/>
    <w:rsid w:val="00B00105"/>
    <w:rsid w:val="00B0014E"/>
    <w:rsid w:val="00B00590"/>
    <w:rsid w:val="00B01826"/>
    <w:rsid w:val="00B070E0"/>
    <w:rsid w:val="00B10CF7"/>
    <w:rsid w:val="00B11727"/>
    <w:rsid w:val="00B1334A"/>
    <w:rsid w:val="00B13387"/>
    <w:rsid w:val="00B13F0F"/>
    <w:rsid w:val="00B16F5B"/>
    <w:rsid w:val="00B21BA4"/>
    <w:rsid w:val="00B23B34"/>
    <w:rsid w:val="00B25B1A"/>
    <w:rsid w:val="00B25B66"/>
    <w:rsid w:val="00B303B1"/>
    <w:rsid w:val="00B305C4"/>
    <w:rsid w:val="00B326BF"/>
    <w:rsid w:val="00B3359D"/>
    <w:rsid w:val="00B34A91"/>
    <w:rsid w:val="00B4012F"/>
    <w:rsid w:val="00B40778"/>
    <w:rsid w:val="00B41723"/>
    <w:rsid w:val="00B41B4E"/>
    <w:rsid w:val="00B41C45"/>
    <w:rsid w:val="00B42108"/>
    <w:rsid w:val="00B44958"/>
    <w:rsid w:val="00B4521F"/>
    <w:rsid w:val="00B45839"/>
    <w:rsid w:val="00B467A7"/>
    <w:rsid w:val="00B5375B"/>
    <w:rsid w:val="00B56BE4"/>
    <w:rsid w:val="00B57BAD"/>
    <w:rsid w:val="00B61595"/>
    <w:rsid w:val="00B6220C"/>
    <w:rsid w:val="00B62265"/>
    <w:rsid w:val="00B632D0"/>
    <w:rsid w:val="00B65EC1"/>
    <w:rsid w:val="00B664A2"/>
    <w:rsid w:val="00B71FAC"/>
    <w:rsid w:val="00B72987"/>
    <w:rsid w:val="00B7358A"/>
    <w:rsid w:val="00B76EA9"/>
    <w:rsid w:val="00B77684"/>
    <w:rsid w:val="00B800DC"/>
    <w:rsid w:val="00B80316"/>
    <w:rsid w:val="00B804D3"/>
    <w:rsid w:val="00B80681"/>
    <w:rsid w:val="00B839DE"/>
    <w:rsid w:val="00B853A6"/>
    <w:rsid w:val="00B866B6"/>
    <w:rsid w:val="00B87056"/>
    <w:rsid w:val="00B8760A"/>
    <w:rsid w:val="00B87914"/>
    <w:rsid w:val="00B933EA"/>
    <w:rsid w:val="00B9372E"/>
    <w:rsid w:val="00B950BC"/>
    <w:rsid w:val="00B96604"/>
    <w:rsid w:val="00BA0496"/>
    <w:rsid w:val="00BA0EFD"/>
    <w:rsid w:val="00BA71F0"/>
    <w:rsid w:val="00BA7ACE"/>
    <w:rsid w:val="00BB028D"/>
    <w:rsid w:val="00BB6061"/>
    <w:rsid w:val="00BB6C19"/>
    <w:rsid w:val="00BB76AB"/>
    <w:rsid w:val="00BC0F32"/>
    <w:rsid w:val="00BC0FC0"/>
    <w:rsid w:val="00BC1FBA"/>
    <w:rsid w:val="00BC34B5"/>
    <w:rsid w:val="00BC4622"/>
    <w:rsid w:val="00BC6DD0"/>
    <w:rsid w:val="00BC7602"/>
    <w:rsid w:val="00BC770B"/>
    <w:rsid w:val="00BD001A"/>
    <w:rsid w:val="00BD1153"/>
    <w:rsid w:val="00BD158F"/>
    <w:rsid w:val="00BD20E3"/>
    <w:rsid w:val="00BD4013"/>
    <w:rsid w:val="00BD4614"/>
    <w:rsid w:val="00BD4AF0"/>
    <w:rsid w:val="00BD77E4"/>
    <w:rsid w:val="00BD79B3"/>
    <w:rsid w:val="00BE03A3"/>
    <w:rsid w:val="00BE0460"/>
    <w:rsid w:val="00BE1AAB"/>
    <w:rsid w:val="00BE35C7"/>
    <w:rsid w:val="00BE37A9"/>
    <w:rsid w:val="00BE742A"/>
    <w:rsid w:val="00BF306F"/>
    <w:rsid w:val="00BF442C"/>
    <w:rsid w:val="00BF4673"/>
    <w:rsid w:val="00C001DC"/>
    <w:rsid w:val="00C0075A"/>
    <w:rsid w:val="00C00ABD"/>
    <w:rsid w:val="00C0217F"/>
    <w:rsid w:val="00C0608E"/>
    <w:rsid w:val="00C13381"/>
    <w:rsid w:val="00C16861"/>
    <w:rsid w:val="00C17459"/>
    <w:rsid w:val="00C17AD1"/>
    <w:rsid w:val="00C20CB2"/>
    <w:rsid w:val="00C21FDA"/>
    <w:rsid w:val="00C25C65"/>
    <w:rsid w:val="00C2776E"/>
    <w:rsid w:val="00C32AF5"/>
    <w:rsid w:val="00C3301C"/>
    <w:rsid w:val="00C34839"/>
    <w:rsid w:val="00C35236"/>
    <w:rsid w:val="00C35A27"/>
    <w:rsid w:val="00C3630C"/>
    <w:rsid w:val="00C37A0E"/>
    <w:rsid w:val="00C4054C"/>
    <w:rsid w:val="00C406C4"/>
    <w:rsid w:val="00C41F88"/>
    <w:rsid w:val="00C431F8"/>
    <w:rsid w:val="00C444C7"/>
    <w:rsid w:val="00C44B1D"/>
    <w:rsid w:val="00C452CA"/>
    <w:rsid w:val="00C45394"/>
    <w:rsid w:val="00C46F4B"/>
    <w:rsid w:val="00C47CA0"/>
    <w:rsid w:val="00C50F45"/>
    <w:rsid w:val="00C5791C"/>
    <w:rsid w:val="00C60087"/>
    <w:rsid w:val="00C60B59"/>
    <w:rsid w:val="00C61142"/>
    <w:rsid w:val="00C61877"/>
    <w:rsid w:val="00C62290"/>
    <w:rsid w:val="00C627D9"/>
    <w:rsid w:val="00C62B2D"/>
    <w:rsid w:val="00C6387A"/>
    <w:rsid w:val="00C64D96"/>
    <w:rsid w:val="00C661B2"/>
    <w:rsid w:val="00C66C28"/>
    <w:rsid w:val="00C67FC4"/>
    <w:rsid w:val="00C70C22"/>
    <w:rsid w:val="00C7124F"/>
    <w:rsid w:val="00C71AE9"/>
    <w:rsid w:val="00C72E67"/>
    <w:rsid w:val="00C73125"/>
    <w:rsid w:val="00C733DF"/>
    <w:rsid w:val="00C73AA5"/>
    <w:rsid w:val="00C742CD"/>
    <w:rsid w:val="00C7519B"/>
    <w:rsid w:val="00C75DF2"/>
    <w:rsid w:val="00C76D28"/>
    <w:rsid w:val="00C80E31"/>
    <w:rsid w:val="00C8148C"/>
    <w:rsid w:val="00C8212F"/>
    <w:rsid w:val="00C82514"/>
    <w:rsid w:val="00C82BA0"/>
    <w:rsid w:val="00C83C05"/>
    <w:rsid w:val="00C85152"/>
    <w:rsid w:val="00C86C8D"/>
    <w:rsid w:val="00C87E9E"/>
    <w:rsid w:val="00C87F56"/>
    <w:rsid w:val="00C94E48"/>
    <w:rsid w:val="00C9511E"/>
    <w:rsid w:val="00C96525"/>
    <w:rsid w:val="00C97039"/>
    <w:rsid w:val="00CA2A92"/>
    <w:rsid w:val="00CA452C"/>
    <w:rsid w:val="00CB0217"/>
    <w:rsid w:val="00CB0D0E"/>
    <w:rsid w:val="00CB13B4"/>
    <w:rsid w:val="00CB16B9"/>
    <w:rsid w:val="00CB2C58"/>
    <w:rsid w:val="00CB54FF"/>
    <w:rsid w:val="00CC0B15"/>
    <w:rsid w:val="00CC12E2"/>
    <w:rsid w:val="00CC2958"/>
    <w:rsid w:val="00CC3B2F"/>
    <w:rsid w:val="00CC4174"/>
    <w:rsid w:val="00CC53A5"/>
    <w:rsid w:val="00CD190C"/>
    <w:rsid w:val="00CD1E50"/>
    <w:rsid w:val="00CD4154"/>
    <w:rsid w:val="00CD4418"/>
    <w:rsid w:val="00CD4909"/>
    <w:rsid w:val="00CD561D"/>
    <w:rsid w:val="00CD5D43"/>
    <w:rsid w:val="00CD5F87"/>
    <w:rsid w:val="00CD757D"/>
    <w:rsid w:val="00CE182C"/>
    <w:rsid w:val="00CE35E1"/>
    <w:rsid w:val="00CE5579"/>
    <w:rsid w:val="00CE5A85"/>
    <w:rsid w:val="00CE6317"/>
    <w:rsid w:val="00CE7F3C"/>
    <w:rsid w:val="00CF0D85"/>
    <w:rsid w:val="00CF10E1"/>
    <w:rsid w:val="00CF1BF2"/>
    <w:rsid w:val="00CF3347"/>
    <w:rsid w:val="00CF497B"/>
    <w:rsid w:val="00CF4C89"/>
    <w:rsid w:val="00CF62DB"/>
    <w:rsid w:val="00CF72BB"/>
    <w:rsid w:val="00D039F4"/>
    <w:rsid w:val="00D03FE6"/>
    <w:rsid w:val="00D0416A"/>
    <w:rsid w:val="00D05583"/>
    <w:rsid w:val="00D106F4"/>
    <w:rsid w:val="00D1080A"/>
    <w:rsid w:val="00D108F9"/>
    <w:rsid w:val="00D10969"/>
    <w:rsid w:val="00D154CC"/>
    <w:rsid w:val="00D203C6"/>
    <w:rsid w:val="00D205DE"/>
    <w:rsid w:val="00D20C97"/>
    <w:rsid w:val="00D2223C"/>
    <w:rsid w:val="00D23A8C"/>
    <w:rsid w:val="00D2617E"/>
    <w:rsid w:val="00D27B9C"/>
    <w:rsid w:val="00D33EA1"/>
    <w:rsid w:val="00D360A4"/>
    <w:rsid w:val="00D37E62"/>
    <w:rsid w:val="00D418B7"/>
    <w:rsid w:val="00D447D4"/>
    <w:rsid w:val="00D44987"/>
    <w:rsid w:val="00D45CDA"/>
    <w:rsid w:val="00D4605A"/>
    <w:rsid w:val="00D4784E"/>
    <w:rsid w:val="00D53F28"/>
    <w:rsid w:val="00D549C5"/>
    <w:rsid w:val="00D55449"/>
    <w:rsid w:val="00D554A7"/>
    <w:rsid w:val="00D556F3"/>
    <w:rsid w:val="00D60296"/>
    <w:rsid w:val="00D63F4A"/>
    <w:rsid w:val="00D666F8"/>
    <w:rsid w:val="00D66EC9"/>
    <w:rsid w:val="00D6798D"/>
    <w:rsid w:val="00D715FE"/>
    <w:rsid w:val="00D72567"/>
    <w:rsid w:val="00D725F4"/>
    <w:rsid w:val="00D72986"/>
    <w:rsid w:val="00D73FAB"/>
    <w:rsid w:val="00D74C4E"/>
    <w:rsid w:val="00D74C65"/>
    <w:rsid w:val="00D805DE"/>
    <w:rsid w:val="00D8132F"/>
    <w:rsid w:val="00D856D7"/>
    <w:rsid w:val="00D858F4"/>
    <w:rsid w:val="00D87F2F"/>
    <w:rsid w:val="00D91994"/>
    <w:rsid w:val="00D927AD"/>
    <w:rsid w:val="00D93AA2"/>
    <w:rsid w:val="00D94FC6"/>
    <w:rsid w:val="00D96357"/>
    <w:rsid w:val="00DA03D2"/>
    <w:rsid w:val="00DA08BF"/>
    <w:rsid w:val="00DA34FB"/>
    <w:rsid w:val="00DA366C"/>
    <w:rsid w:val="00DA388C"/>
    <w:rsid w:val="00DA5DF8"/>
    <w:rsid w:val="00DA6E12"/>
    <w:rsid w:val="00DA7B2E"/>
    <w:rsid w:val="00DB3F11"/>
    <w:rsid w:val="00DB483F"/>
    <w:rsid w:val="00DB496C"/>
    <w:rsid w:val="00DB4E23"/>
    <w:rsid w:val="00DB6379"/>
    <w:rsid w:val="00DB639A"/>
    <w:rsid w:val="00DB69C4"/>
    <w:rsid w:val="00DB6C57"/>
    <w:rsid w:val="00DC019C"/>
    <w:rsid w:val="00DC07C8"/>
    <w:rsid w:val="00DC08BC"/>
    <w:rsid w:val="00DC1625"/>
    <w:rsid w:val="00DC25BB"/>
    <w:rsid w:val="00DC263D"/>
    <w:rsid w:val="00DC2775"/>
    <w:rsid w:val="00DC4AFD"/>
    <w:rsid w:val="00DC4C48"/>
    <w:rsid w:val="00DC511C"/>
    <w:rsid w:val="00DC71EB"/>
    <w:rsid w:val="00DC7F32"/>
    <w:rsid w:val="00DD3089"/>
    <w:rsid w:val="00DD37EC"/>
    <w:rsid w:val="00DD38DD"/>
    <w:rsid w:val="00DD3D97"/>
    <w:rsid w:val="00DE083F"/>
    <w:rsid w:val="00DE1073"/>
    <w:rsid w:val="00DE23D7"/>
    <w:rsid w:val="00DE26CD"/>
    <w:rsid w:val="00DE359B"/>
    <w:rsid w:val="00DE3C1C"/>
    <w:rsid w:val="00DE3D86"/>
    <w:rsid w:val="00DE42E6"/>
    <w:rsid w:val="00DE444C"/>
    <w:rsid w:val="00DE678A"/>
    <w:rsid w:val="00DE76B0"/>
    <w:rsid w:val="00DE7748"/>
    <w:rsid w:val="00DF022E"/>
    <w:rsid w:val="00DF216D"/>
    <w:rsid w:val="00DF3B79"/>
    <w:rsid w:val="00DF40B5"/>
    <w:rsid w:val="00DF432E"/>
    <w:rsid w:val="00DF5545"/>
    <w:rsid w:val="00DF6E85"/>
    <w:rsid w:val="00DF6F7B"/>
    <w:rsid w:val="00E01719"/>
    <w:rsid w:val="00E03F6B"/>
    <w:rsid w:val="00E07BAF"/>
    <w:rsid w:val="00E07F3C"/>
    <w:rsid w:val="00E12F49"/>
    <w:rsid w:val="00E140DD"/>
    <w:rsid w:val="00E151CB"/>
    <w:rsid w:val="00E169A8"/>
    <w:rsid w:val="00E171FE"/>
    <w:rsid w:val="00E21CF4"/>
    <w:rsid w:val="00E2247E"/>
    <w:rsid w:val="00E2299C"/>
    <w:rsid w:val="00E22D87"/>
    <w:rsid w:val="00E23C85"/>
    <w:rsid w:val="00E23EBA"/>
    <w:rsid w:val="00E24819"/>
    <w:rsid w:val="00E24F93"/>
    <w:rsid w:val="00E25578"/>
    <w:rsid w:val="00E257EC"/>
    <w:rsid w:val="00E263BB"/>
    <w:rsid w:val="00E27C49"/>
    <w:rsid w:val="00E32DFC"/>
    <w:rsid w:val="00E332B3"/>
    <w:rsid w:val="00E33CDA"/>
    <w:rsid w:val="00E3624B"/>
    <w:rsid w:val="00E3747C"/>
    <w:rsid w:val="00E37EE0"/>
    <w:rsid w:val="00E40DDA"/>
    <w:rsid w:val="00E43845"/>
    <w:rsid w:val="00E450B9"/>
    <w:rsid w:val="00E45471"/>
    <w:rsid w:val="00E4612E"/>
    <w:rsid w:val="00E46BC6"/>
    <w:rsid w:val="00E47D45"/>
    <w:rsid w:val="00E50FB3"/>
    <w:rsid w:val="00E527F8"/>
    <w:rsid w:val="00E54326"/>
    <w:rsid w:val="00E5445D"/>
    <w:rsid w:val="00E55395"/>
    <w:rsid w:val="00E557A2"/>
    <w:rsid w:val="00E60725"/>
    <w:rsid w:val="00E65993"/>
    <w:rsid w:val="00E66798"/>
    <w:rsid w:val="00E66974"/>
    <w:rsid w:val="00E67BA1"/>
    <w:rsid w:val="00E73BDC"/>
    <w:rsid w:val="00E75800"/>
    <w:rsid w:val="00E76924"/>
    <w:rsid w:val="00E77E02"/>
    <w:rsid w:val="00E82D24"/>
    <w:rsid w:val="00E84148"/>
    <w:rsid w:val="00E846BC"/>
    <w:rsid w:val="00E86C1B"/>
    <w:rsid w:val="00E86E07"/>
    <w:rsid w:val="00E90689"/>
    <w:rsid w:val="00E91DB3"/>
    <w:rsid w:val="00E9338D"/>
    <w:rsid w:val="00E941EC"/>
    <w:rsid w:val="00E9521B"/>
    <w:rsid w:val="00E96081"/>
    <w:rsid w:val="00E9720E"/>
    <w:rsid w:val="00E97507"/>
    <w:rsid w:val="00EA1134"/>
    <w:rsid w:val="00EA43D5"/>
    <w:rsid w:val="00EA59B9"/>
    <w:rsid w:val="00EA6C79"/>
    <w:rsid w:val="00EB11E5"/>
    <w:rsid w:val="00EB28B6"/>
    <w:rsid w:val="00EB3735"/>
    <w:rsid w:val="00EB5946"/>
    <w:rsid w:val="00EB67E0"/>
    <w:rsid w:val="00EB6F78"/>
    <w:rsid w:val="00EC1ADC"/>
    <w:rsid w:val="00EC2757"/>
    <w:rsid w:val="00EC2A82"/>
    <w:rsid w:val="00EC3AC3"/>
    <w:rsid w:val="00EC3F4E"/>
    <w:rsid w:val="00EC3FF6"/>
    <w:rsid w:val="00EC4121"/>
    <w:rsid w:val="00EC46AF"/>
    <w:rsid w:val="00EC6020"/>
    <w:rsid w:val="00EC7AF4"/>
    <w:rsid w:val="00ED0267"/>
    <w:rsid w:val="00ED08A4"/>
    <w:rsid w:val="00ED356D"/>
    <w:rsid w:val="00ED462A"/>
    <w:rsid w:val="00ED59FA"/>
    <w:rsid w:val="00ED7845"/>
    <w:rsid w:val="00EE0845"/>
    <w:rsid w:val="00EE1F34"/>
    <w:rsid w:val="00EE5BEC"/>
    <w:rsid w:val="00EE662C"/>
    <w:rsid w:val="00EE6B87"/>
    <w:rsid w:val="00EF7CCA"/>
    <w:rsid w:val="00F0019D"/>
    <w:rsid w:val="00F002FA"/>
    <w:rsid w:val="00F01805"/>
    <w:rsid w:val="00F01BD6"/>
    <w:rsid w:val="00F02F2D"/>
    <w:rsid w:val="00F0319E"/>
    <w:rsid w:val="00F032B4"/>
    <w:rsid w:val="00F03897"/>
    <w:rsid w:val="00F11BD8"/>
    <w:rsid w:val="00F21A58"/>
    <w:rsid w:val="00F2439A"/>
    <w:rsid w:val="00F263DE"/>
    <w:rsid w:val="00F26E80"/>
    <w:rsid w:val="00F3006A"/>
    <w:rsid w:val="00F31ED7"/>
    <w:rsid w:val="00F32EDD"/>
    <w:rsid w:val="00F3301F"/>
    <w:rsid w:val="00F34FDC"/>
    <w:rsid w:val="00F3528F"/>
    <w:rsid w:val="00F42245"/>
    <w:rsid w:val="00F4283A"/>
    <w:rsid w:val="00F452C3"/>
    <w:rsid w:val="00F45781"/>
    <w:rsid w:val="00F45892"/>
    <w:rsid w:val="00F46424"/>
    <w:rsid w:val="00F46C15"/>
    <w:rsid w:val="00F51286"/>
    <w:rsid w:val="00F520B7"/>
    <w:rsid w:val="00F547E9"/>
    <w:rsid w:val="00F560F9"/>
    <w:rsid w:val="00F57074"/>
    <w:rsid w:val="00F60D96"/>
    <w:rsid w:val="00F62226"/>
    <w:rsid w:val="00F624C6"/>
    <w:rsid w:val="00F632F1"/>
    <w:rsid w:val="00F63ED2"/>
    <w:rsid w:val="00F64A8E"/>
    <w:rsid w:val="00F64C9B"/>
    <w:rsid w:val="00F65A5A"/>
    <w:rsid w:val="00F66757"/>
    <w:rsid w:val="00F70044"/>
    <w:rsid w:val="00F71B52"/>
    <w:rsid w:val="00F73DD3"/>
    <w:rsid w:val="00F74FF9"/>
    <w:rsid w:val="00F77D48"/>
    <w:rsid w:val="00F8122A"/>
    <w:rsid w:val="00F81440"/>
    <w:rsid w:val="00F81DB5"/>
    <w:rsid w:val="00F8255E"/>
    <w:rsid w:val="00F843E1"/>
    <w:rsid w:val="00F854DB"/>
    <w:rsid w:val="00F86537"/>
    <w:rsid w:val="00F90F6D"/>
    <w:rsid w:val="00F911F6"/>
    <w:rsid w:val="00F92C55"/>
    <w:rsid w:val="00F930AF"/>
    <w:rsid w:val="00F93689"/>
    <w:rsid w:val="00F94A45"/>
    <w:rsid w:val="00F96E9A"/>
    <w:rsid w:val="00F97C0B"/>
    <w:rsid w:val="00FA3339"/>
    <w:rsid w:val="00FA4974"/>
    <w:rsid w:val="00FA498E"/>
    <w:rsid w:val="00FB32F6"/>
    <w:rsid w:val="00FB3BC2"/>
    <w:rsid w:val="00FB40FB"/>
    <w:rsid w:val="00FB63FE"/>
    <w:rsid w:val="00FB7157"/>
    <w:rsid w:val="00FB7CFF"/>
    <w:rsid w:val="00FC070C"/>
    <w:rsid w:val="00FC1016"/>
    <w:rsid w:val="00FC3A9F"/>
    <w:rsid w:val="00FC50D9"/>
    <w:rsid w:val="00FC7F0A"/>
    <w:rsid w:val="00FD2A2B"/>
    <w:rsid w:val="00FD4EB1"/>
    <w:rsid w:val="00FD6202"/>
    <w:rsid w:val="00FD7987"/>
    <w:rsid w:val="00FD7FDC"/>
    <w:rsid w:val="00FD7FE1"/>
    <w:rsid w:val="00FE0172"/>
    <w:rsid w:val="00FE0C0E"/>
    <w:rsid w:val="00FE4B82"/>
    <w:rsid w:val="00FE4EFC"/>
    <w:rsid w:val="00FE6098"/>
    <w:rsid w:val="00FE6239"/>
    <w:rsid w:val="00FE6CA2"/>
    <w:rsid w:val="00FE7DE2"/>
    <w:rsid w:val="00FF0FBA"/>
    <w:rsid w:val="00FF1D88"/>
    <w:rsid w:val="00FF21A8"/>
    <w:rsid w:val="00FF223C"/>
    <w:rsid w:val="00FF2B85"/>
    <w:rsid w:val="00FF4501"/>
    <w:rsid w:val="00FF4E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E15EF60-593C-4B3F-97A7-BB8E04B8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33"/>
    <w:rPr>
      <w:rFonts w:ascii="Arial" w:hAnsi="Arial"/>
      <w:sz w:val="24"/>
      <w:szCs w:val="24"/>
    </w:rPr>
  </w:style>
  <w:style w:type="paragraph" w:styleId="Titre1">
    <w:name w:val="heading 1"/>
    <w:basedOn w:val="Normal"/>
    <w:next w:val="Normal"/>
    <w:link w:val="Titre1Car"/>
    <w:qFormat/>
    <w:rsid w:val="00BA71F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rsid w:val="00B21BA4"/>
    <w:pPr>
      <w:keepNext/>
      <w:keepLines/>
      <w:numPr>
        <w:numId w:val="13"/>
      </w:numPr>
      <w:spacing w:before="40"/>
      <w:outlineLvl w:val="1"/>
    </w:pPr>
    <w:rPr>
      <w:rFonts w:asciiTheme="majorHAnsi" w:eastAsiaTheme="majorEastAsia" w:hAnsiTheme="majorHAnsi" w:cstheme="majorBidi"/>
      <w:b/>
      <w:sz w:val="36"/>
      <w:szCs w:val="26"/>
    </w:rPr>
  </w:style>
  <w:style w:type="paragraph" w:styleId="Titre3">
    <w:name w:val="heading 3"/>
    <w:basedOn w:val="Normal"/>
    <w:next w:val="Normal"/>
    <w:link w:val="Titre3Car"/>
    <w:unhideWhenUsed/>
    <w:qFormat/>
    <w:rsid w:val="00B21BA4"/>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692268"/>
    <w:rPr>
      <w:rFonts w:ascii="Tahoma" w:hAnsi="Tahoma" w:cs="Tahoma"/>
      <w:sz w:val="16"/>
      <w:szCs w:val="16"/>
    </w:rPr>
  </w:style>
  <w:style w:type="paragraph" w:styleId="NormalWeb">
    <w:name w:val="Normal (Web)"/>
    <w:basedOn w:val="Normal"/>
    <w:uiPriority w:val="99"/>
    <w:unhideWhenUsed/>
    <w:rsid w:val="00110D64"/>
    <w:pPr>
      <w:spacing w:before="100" w:beforeAutospacing="1" w:after="100" w:afterAutospacing="1"/>
    </w:pPr>
    <w:rPr>
      <w:rFonts w:ascii="Times New Roman" w:hAnsi="Times New Roman"/>
    </w:rPr>
  </w:style>
  <w:style w:type="paragraph" w:styleId="Paragraphedeliste">
    <w:name w:val="List Paragraph"/>
    <w:basedOn w:val="Normal"/>
    <w:uiPriority w:val="34"/>
    <w:qFormat/>
    <w:rsid w:val="009672B3"/>
    <w:pPr>
      <w:ind w:left="720"/>
      <w:contextualSpacing/>
      <w:jc w:val="both"/>
    </w:pPr>
    <w:rPr>
      <w:sz w:val="22"/>
      <w:szCs w:val="20"/>
      <w:lang w:eastAsia="fr-FR"/>
    </w:rPr>
  </w:style>
  <w:style w:type="paragraph" w:customStyle="1" w:styleId="projetdeloi">
    <w:name w:val="projet de loi"/>
    <w:basedOn w:val="Normal"/>
    <w:link w:val="projetdeloiCar"/>
    <w:qFormat/>
    <w:rsid w:val="009672B3"/>
    <w:pPr>
      <w:tabs>
        <w:tab w:val="left" w:pos="630"/>
      </w:tabs>
      <w:autoSpaceDE w:val="0"/>
      <w:autoSpaceDN w:val="0"/>
      <w:adjustRightInd w:val="0"/>
      <w:ind w:left="180"/>
      <w:jc w:val="both"/>
    </w:pPr>
    <w:rPr>
      <w:rFonts w:cs="Arial"/>
      <w:lang w:val="fr-FR"/>
    </w:rPr>
  </w:style>
  <w:style w:type="character" w:customStyle="1" w:styleId="projetdeloiCar">
    <w:name w:val="projet de loi Car"/>
    <w:basedOn w:val="Policepardfaut"/>
    <w:link w:val="projetdeloi"/>
    <w:rsid w:val="009672B3"/>
    <w:rPr>
      <w:rFonts w:ascii="Arial" w:hAnsi="Arial" w:cs="Arial"/>
      <w:sz w:val="24"/>
      <w:szCs w:val="24"/>
      <w:lang w:val="fr-FR"/>
    </w:rPr>
  </w:style>
  <w:style w:type="paragraph" w:styleId="En-tte">
    <w:name w:val="header"/>
    <w:basedOn w:val="Normal"/>
    <w:link w:val="En-tteCar"/>
    <w:uiPriority w:val="99"/>
    <w:rsid w:val="003641D4"/>
    <w:pPr>
      <w:tabs>
        <w:tab w:val="center" w:pos="4320"/>
        <w:tab w:val="right" w:pos="8640"/>
      </w:tabs>
    </w:pPr>
  </w:style>
  <w:style w:type="character" w:customStyle="1" w:styleId="En-tteCar">
    <w:name w:val="En-tête Car"/>
    <w:basedOn w:val="Policepardfaut"/>
    <w:link w:val="En-tte"/>
    <w:uiPriority w:val="99"/>
    <w:rsid w:val="003641D4"/>
    <w:rPr>
      <w:rFonts w:ascii="Arial" w:hAnsi="Arial"/>
      <w:sz w:val="24"/>
      <w:szCs w:val="24"/>
    </w:rPr>
  </w:style>
  <w:style w:type="paragraph" w:styleId="Pieddepage">
    <w:name w:val="footer"/>
    <w:basedOn w:val="Normal"/>
    <w:link w:val="PieddepageCar"/>
    <w:uiPriority w:val="99"/>
    <w:rsid w:val="003641D4"/>
    <w:pPr>
      <w:tabs>
        <w:tab w:val="center" w:pos="4320"/>
        <w:tab w:val="right" w:pos="8640"/>
      </w:tabs>
    </w:pPr>
  </w:style>
  <w:style w:type="character" w:customStyle="1" w:styleId="PieddepageCar">
    <w:name w:val="Pied de page Car"/>
    <w:basedOn w:val="Policepardfaut"/>
    <w:link w:val="Pieddepage"/>
    <w:uiPriority w:val="99"/>
    <w:rsid w:val="003641D4"/>
    <w:rPr>
      <w:rFonts w:ascii="Arial" w:hAnsi="Arial"/>
      <w:sz w:val="24"/>
      <w:szCs w:val="24"/>
    </w:rPr>
  </w:style>
  <w:style w:type="table" w:styleId="Grilledutableau">
    <w:name w:val="Table Grid"/>
    <w:basedOn w:val="TableauNormal"/>
    <w:rsid w:val="003608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rsid w:val="002A6358"/>
    <w:rPr>
      <w:sz w:val="20"/>
      <w:szCs w:val="20"/>
    </w:rPr>
  </w:style>
  <w:style w:type="character" w:customStyle="1" w:styleId="NotedebasdepageCar">
    <w:name w:val="Note de bas de page Car"/>
    <w:basedOn w:val="Policepardfaut"/>
    <w:link w:val="Notedebasdepage"/>
    <w:rsid w:val="002A6358"/>
    <w:rPr>
      <w:rFonts w:ascii="Arial" w:hAnsi="Arial"/>
    </w:rPr>
  </w:style>
  <w:style w:type="character" w:styleId="Appelnotedebasdep">
    <w:name w:val="footnote reference"/>
    <w:basedOn w:val="Policepardfaut"/>
    <w:rsid w:val="002A6358"/>
    <w:rPr>
      <w:vertAlign w:val="superscript"/>
    </w:rPr>
  </w:style>
  <w:style w:type="paragraph" w:styleId="Notedefin">
    <w:name w:val="endnote text"/>
    <w:basedOn w:val="Normal"/>
    <w:link w:val="NotedefinCar"/>
    <w:uiPriority w:val="99"/>
    <w:unhideWhenUsed/>
    <w:rsid w:val="00E450B9"/>
    <w:pPr>
      <w:spacing w:before="100" w:beforeAutospacing="1" w:after="100" w:afterAutospacing="1"/>
    </w:pPr>
    <w:rPr>
      <w:rFonts w:ascii="Times New Roman" w:hAnsi="Times New Roman"/>
      <w:sz w:val="20"/>
      <w:szCs w:val="20"/>
    </w:rPr>
  </w:style>
  <w:style w:type="character" w:customStyle="1" w:styleId="NotedefinCar">
    <w:name w:val="Note de fin Car"/>
    <w:basedOn w:val="Policepardfaut"/>
    <w:link w:val="Notedefin"/>
    <w:uiPriority w:val="99"/>
    <w:rsid w:val="00E450B9"/>
  </w:style>
  <w:style w:type="character" w:styleId="Appeldenotedefin">
    <w:name w:val="endnote reference"/>
    <w:basedOn w:val="Policepardfaut"/>
    <w:uiPriority w:val="99"/>
    <w:unhideWhenUsed/>
    <w:rsid w:val="00E450B9"/>
    <w:rPr>
      <w:rFonts w:ascii="Times" w:hAnsi="Times" w:cs="Arial"/>
      <w:sz w:val="20"/>
      <w:szCs w:val="22"/>
      <w:vertAlign w:val="superscript"/>
    </w:rPr>
  </w:style>
  <w:style w:type="character" w:styleId="Lienhypertexte">
    <w:name w:val="Hyperlink"/>
    <w:basedOn w:val="Policepardfaut"/>
    <w:uiPriority w:val="99"/>
    <w:unhideWhenUsed/>
    <w:rsid w:val="00E450B9"/>
    <w:rPr>
      <w:color w:val="0000FF"/>
      <w:u w:val="single"/>
    </w:rPr>
  </w:style>
  <w:style w:type="character" w:styleId="Marquedecommentaire">
    <w:name w:val="annotation reference"/>
    <w:basedOn w:val="Policepardfaut"/>
    <w:rsid w:val="008E77C5"/>
    <w:rPr>
      <w:sz w:val="16"/>
      <w:szCs w:val="16"/>
    </w:rPr>
  </w:style>
  <w:style w:type="paragraph" w:styleId="Commentaire">
    <w:name w:val="annotation text"/>
    <w:basedOn w:val="Normal"/>
    <w:link w:val="CommentaireCar"/>
    <w:rsid w:val="008E77C5"/>
    <w:rPr>
      <w:sz w:val="20"/>
      <w:szCs w:val="20"/>
    </w:rPr>
  </w:style>
  <w:style w:type="character" w:customStyle="1" w:styleId="CommentaireCar">
    <w:name w:val="Commentaire Car"/>
    <w:basedOn w:val="Policepardfaut"/>
    <w:link w:val="Commentaire"/>
    <w:rsid w:val="008E77C5"/>
    <w:rPr>
      <w:rFonts w:ascii="Arial" w:hAnsi="Arial"/>
    </w:rPr>
  </w:style>
  <w:style w:type="paragraph" w:styleId="Objetducommentaire">
    <w:name w:val="annotation subject"/>
    <w:basedOn w:val="Commentaire"/>
    <w:next w:val="Commentaire"/>
    <w:link w:val="ObjetducommentaireCar"/>
    <w:rsid w:val="008E77C5"/>
    <w:rPr>
      <w:b/>
      <w:bCs/>
    </w:rPr>
  </w:style>
  <w:style w:type="character" w:customStyle="1" w:styleId="ObjetducommentaireCar">
    <w:name w:val="Objet du commentaire Car"/>
    <w:basedOn w:val="CommentaireCar"/>
    <w:link w:val="Objetducommentaire"/>
    <w:rsid w:val="008E77C5"/>
    <w:rPr>
      <w:rFonts w:ascii="Arial" w:hAnsi="Arial"/>
      <w:b/>
      <w:bCs/>
    </w:rPr>
  </w:style>
  <w:style w:type="paragraph" w:styleId="Rvision">
    <w:name w:val="Revision"/>
    <w:hidden/>
    <w:uiPriority w:val="99"/>
    <w:semiHidden/>
    <w:rsid w:val="008E77C5"/>
    <w:rPr>
      <w:rFonts w:ascii="Arial" w:hAnsi="Arial"/>
      <w:sz w:val="24"/>
      <w:szCs w:val="24"/>
    </w:rPr>
  </w:style>
  <w:style w:type="character" w:customStyle="1" w:styleId="Titre1Car">
    <w:name w:val="Titre 1 Car"/>
    <w:basedOn w:val="Policepardfaut"/>
    <w:link w:val="Titre1"/>
    <w:rsid w:val="00BA71F0"/>
    <w:rPr>
      <w:rFonts w:ascii="Cambria" w:eastAsia="Times New Roman" w:hAnsi="Cambria" w:cs="Times New Roman"/>
      <w:b/>
      <w:bCs/>
      <w:kern w:val="32"/>
      <w:sz w:val="32"/>
      <w:szCs w:val="32"/>
    </w:rPr>
  </w:style>
  <w:style w:type="paragraph" w:styleId="En-ttedetabledesmatires">
    <w:name w:val="TOC Heading"/>
    <w:basedOn w:val="Titre1"/>
    <w:next w:val="Normal"/>
    <w:uiPriority w:val="39"/>
    <w:semiHidden/>
    <w:unhideWhenUsed/>
    <w:qFormat/>
    <w:rsid w:val="00BA71F0"/>
    <w:pPr>
      <w:keepLines/>
      <w:spacing w:before="480" w:after="0" w:line="276" w:lineRule="auto"/>
      <w:outlineLvl w:val="9"/>
    </w:pPr>
    <w:rPr>
      <w:color w:val="365F91"/>
      <w:kern w:val="0"/>
      <w:sz w:val="28"/>
      <w:szCs w:val="28"/>
      <w:lang w:val="fr-FR" w:eastAsia="en-US"/>
    </w:rPr>
  </w:style>
  <w:style w:type="paragraph" w:styleId="TM1">
    <w:name w:val="toc 1"/>
    <w:basedOn w:val="Normal"/>
    <w:next w:val="Normal"/>
    <w:autoRedefine/>
    <w:uiPriority w:val="39"/>
    <w:rsid w:val="00BA71F0"/>
  </w:style>
  <w:style w:type="character" w:customStyle="1" w:styleId="Titre2Car">
    <w:name w:val="Titre 2 Car"/>
    <w:basedOn w:val="Policepardfaut"/>
    <w:link w:val="Titre2"/>
    <w:rsid w:val="00B21BA4"/>
    <w:rPr>
      <w:rFonts w:asciiTheme="majorHAnsi" w:eastAsiaTheme="majorEastAsia" w:hAnsiTheme="majorHAnsi" w:cstheme="majorBidi"/>
      <w:b/>
      <w:sz w:val="36"/>
      <w:szCs w:val="26"/>
    </w:rPr>
  </w:style>
  <w:style w:type="paragraph" w:styleId="TM2">
    <w:name w:val="toc 2"/>
    <w:basedOn w:val="Normal"/>
    <w:next w:val="Normal"/>
    <w:autoRedefine/>
    <w:uiPriority w:val="39"/>
    <w:unhideWhenUsed/>
    <w:rsid w:val="00E55395"/>
    <w:pPr>
      <w:spacing w:after="100"/>
      <w:ind w:left="240"/>
    </w:pPr>
  </w:style>
  <w:style w:type="character" w:customStyle="1" w:styleId="Titre3Car">
    <w:name w:val="Titre 3 Car"/>
    <w:basedOn w:val="Policepardfaut"/>
    <w:link w:val="Titre3"/>
    <w:rsid w:val="006819C9"/>
    <w:rPr>
      <w:rFonts w:asciiTheme="majorHAnsi" w:eastAsiaTheme="majorEastAsia" w:hAnsiTheme="majorHAnsi" w:cstheme="majorBidi"/>
      <w:color w:val="243F60" w:themeColor="accent1" w:themeShade="7F"/>
      <w:sz w:val="24"/>
      <w:szCs w:val="24"/>
    </w:rPr>
  </w:style>
  <w:style w:type="paragraph" w:styleId="TM3">
    <w:name w:val="toc 3"/>
    <w:basedOn w:val="Normal"/>
    <w:next w:val="Normal"/>
    <w:autoRedefine/>
    <w:uiPriority w:val="39"/>
    <w:unhideWhenUsed/>
    <w:rsid w:val="00B21BA4"/>
    <w:pPr>
      <w:spacing w:after="100"/>
      <w:ind w:left="480"/>
    </w:pPr>
  </w:style>
  <w:style w:type="table" w:customStyle="1" w:styleId="Grilledutableau1">
    <w:name w:val="Grille du tableau1"/>
    <w:basedOn w:val="TableauNormal"/>
    <w:next w:val="Grilledutableau"/>
    <w:uiPriority w:val="59"/>
    <w:rsid w:val="00B8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5EA8"/>
    <w:pPr>
      <w:autoSpaceDE w:val="0"/>
      <w:autoSpaceDN w:val="0"/>
      <w:adjustRightInd w:val="0"/>
    </w:pPr>
    <w:rPr>
      <w:rFonts w:ascii="Arial" w:hAnsi="Arial" w:cs="Arial"/>
      <w:color w:val="000000"/>
      <w:sz w:val="24"/>
      <w:szCs w:val="24"/>
    </w:rPr>
  </w:style>
  <w:style w:type="character" w:customStyle="1" w:styleId="TextedebullesCar">
    <w:name w:val="Texte de bulles Car"/>
    <w:basedOn w:val="Policepardfaut"/>
    <w:link w:val="Textedebulles"/>
    <w:uiPriority w:val="99"/>
    <w:semiHidden/>
    <w:rsid w:val="0007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1752">
      <w:bodyDiv w:val="1"/>
      <w:marLeft w:val="0"/>
      <w:marRight w:val="0"/>
      <w:marTop w:val="0"/>
      <w:marBottom w:val="0"/>
      <w:divBdr>
        <w:top w:val="none" w:sz="0" w:space="0" w:color="auto"/>
        <w:left w:val="none" w:sz="0" w:space="0" w:color="auto"/>
        <w:bottom w:val="none" w:sz="0" w:space="0" w:color="auto"/>
        <w:right w:val="none" w:sz="0" w:space="0" w:color="auto"/>
      </w:divBdr>
    </w:div>
    <w:div w:id="378431389">
      <w:bodyDiv w:val="1"/>
      <w:marLeft w:val="0"/>
      <w:marRight w:val="0"/>
      <w:marTop w:val="0"/>
      <w:marBottom w:val="0"/>
      <w:divBdr>
        <w:top w:val="none" w:sz="0" w:space="0" w:color="auto"/>
        <w:left w:val="none" w:sz="0" w:space="0" w:color="auto"/>
        <w:bottom w:val="none" w:sz="0" w:space="0" w:color="auto"/>
        <w:right w:val="none" w:sz="0" w:space="0" w:color="auto"/>
      </w:divBdr>
    </w:div>
    <w:div w:id="471096916">
      <w:bodyDiv w:val="1"/>
      <w:marLeft w:val="0"/>
      <w:marRight w:val="0"/>
      <w:marTop w:val="0"/>
      <w:marBottom w:val="0"/>
      <w:divBdr>
        <w:top w:val="none" w:sz="0" w:space="0" w:color="auto"/>
        <w:left w:val="none" w:sz="0" w:space="0" w:color="auto"/>
        <w:bottom w:val="none" w:sz="0" w:space="0" w:color="auto"/>
        <w:right w:val="none" w:sz="0" w:space="0" w:color="auto"/>
      </w:divBdr>
    </w:div>
    <w:div w:id="538203649">
      <w:bodyDiv w:val="1"/>
      <w:marLeft w:val="0"/>
      <w:marRight w:val="0"/>
      <w:marTop w:val="0"/>
      <w:marBottom w:val="0"/>
      <w:divBdr>
        <w:top w:val="none" w:sz="0" w:space="0" w:color="auto"/>
        <w:left w:val="none" w:sz="0" w:space="0" w:color="auto"/>
        <w:bottom w:val="none" w:sz="0" w:space="0" w:color="auto"/>
        <w:right w:val="none" w:sz="0" w:space="0" w:color="auto"/>
      </w:divBdr>
    </w:div>
    <w:div w:id="612982675">
      <w:bodyDiv w:val="1"/>
      <w:marLeft w:val="0"/>
      <w:marRight w:val="0"/>
      <w:marTop w:val="0"/>
      <w:marBottom w:val="0"/>
      <w:divBdr>
        <w:top w:val="none" w:sz="0" w:space="0" w:color="auto"/>
        <w:left w:val="none" w:sz="0" w:space="0" w:color="auto"/>
        <w:bottom w:val="none" w:sz="0" w:space="0" w:color="auto"/>
        <w:right w:val="none" w:sz="0" w:space="0" w:color="auto"/>
      </w:divBdr>
    </w:div>
    <w:div w:id="922841493">
      <w:bodyDiv w:val="1"/>
      <w:marLeft w:val="0"/>
      <w:marRight w:val="0"/>
      <w:marTop w:val="0"/>
      <w:marBottom w:val="0"/>
      <w:divBdr>
        <w:top w:val="none" w:sz="0" w:space="0" w:color="auto"/>
        <w:left w:val="none" w:sz="0" w:space="0" w:color="auto"/>
        <w:bottom w:val="none" w:sz="0" w:space="0" w:color="auto"/>
        <w:right w:val="none" w:sz="0" w:space="0" w:color="auto"/>
      </w:divBdr>
    </w:div>
    <w:div w:id="955336223">
      <w:bodyDiv w:val="1"/>
      <w:marLeft w:val="0"/>
      <w:marRight w:val="0"/>
      <w:marTop w:val="0"/>
      <w:marBottom w:val="0"/>
      <w:divBdr>
        <w:top w:val="none" w:sz="0" w:space="0" w:color="auto"/>
        <w:left w:val="none" w:sz="0" w:space="0" w:color="auto"/>
        <w:bottom w:val="none" w:sz="0" w:space="0" w:color="auto"/>
        <w:right w:val="none" w:sz="0" w:space="0" w:color="auto"/>
      </w:divBdr>
    </w:div>
    <w:div w:id="1014721495">
      <w:bodyDiv w:val="1"/>
      <w:marLeft w:val="0"/>
      <w:marRight w:val="0"/>
      <w:marTop w:val="0"/>
      <w:marBottom w:val="0"/>
      <w:divBdr>
        <w:top w:val="none" w:sz="0" w:space="0" w:color="auto"/>
        <w:left w:val="none" w:sz="0" w:space="0" w:color="auto"/>
        <w:bottom w:val="none" w:sz="0" w:space="0" w:color="auto"/>
        <w:right w:val="none" w:sz="0" w:space="0" w:color="auto"/>
      </w:divBdr>
    </w:div>
    <w:div w:id="1041053468">
      <w:bodyDiv w:val="1"/>
      <w:marLeft w:val="0"/>
      <w:marRight w:val="0"/>
      <w:marTop w:val="0"/>
      <w:marBottom w:val="0"/>
      <w:divBdr>
        <w:top w:val="none" w:sz="0" w:space="0" w:color="auto"/>
        <w:left w:val="none" w:sz="0" w:space="0" w:color="auto"/>
        <w:bottom w:val="none" w:sz="0" w:space="0" w:color="auto"/>
        <w:right w:val="none" w:sz="0" w:space="0" w:color="auto"/>
      </w:divBdr>
    </w:div>
    <w:div w:id="1213545451">
      <w:bodyDiv w:val="1"/>
      <w:marLeft w:val="0"/>
      <w:marRight w:val="0"/>
      <w:marTop w:val="0"/>
      <w:marBottom w:val="0"/>
      <w:divBdr>
        <w:top w:val="none" w:sz="0" w:space="0" w:color="auto"/>
        <w:left w:val="none" w:sz="0" w:space="0" w:color="auto"/>
        <w:bottom w:val="none" w:sz="0" w:space="0" w:color="auto"/>
        <w:right w:val="none" w:sz="0" w:space="0" w:color="auto"/>
      </w:divBdr>
    </w:div>
    <w:div w:id="1382172842">
      <w:bodyDiv w:val="1"/>
      <w:marLeft w:val="0"/>
      <w:marRight w:val="0"/>
      <w:marTop w:val="0"/>
      <w:marBottom w:val="0"/>
      <w:divBdr>
        <w:top w:val="none" w:sz="0" w:space="0" w:color="auto"/>
        <w:left w:val="none" w:sz="0" w:space="0" w:color="auto"/>
        <w:bottom w:val="none" w:sz="0" w:space="0" w:color="auto"/>
        <w:right w:val="none" w:sz="0" w:space="0" w:color="auto"/>
      </w:divBdr>
    </w:div>
    <w:div w:id="1462381477">
      <w:bodyDiv w:val="1"/>
      <w:marLeft w:val="0"/>
      <w:marRight w:val="0"/>
      <w:marTop w:val="0"/>
      <w:marBottom w:val="0"/>
      <w:divBdr>
        <w:top w:val="none" w:sz="0" w:space="0" w:color="auto"/>
        <w:left w:val="none" w:sz="0" w:space="0" w:color="auto"/>
        <w:bottom w:val="none" w:sz="0" w:space="0" w:color="auto"/>
        <w:right w:val="none" w:sz="0" w:space="0" w:color="auto"/>
      </w:divBdr>
    </w:div>
    <w:div w:id="1537085246">
      <w:bodyDiv w:val="1"/>
      <w:marLeft w:val="0"/>
      <w:marRight w:val="0"/>
      <w:marTop w:val="0"/>
      <w:marBottom w:val="0"/>
      <w:divBdr>
        <w:top w:val="none" w:sz="0" w:space="0" w:color="auto"/>
        <w:left w:val="none" w:sz="0" w:space="0" w:color="auto"/>
        <w:bottom w:val="none" w:sz="0" w:space="0" w:color="auto"/>
        <w:right w:val="none" w:sz="0" w:space="0" w:color="auto"/>
      </w:divBdr>
    </w:div>
    <w:div w:id="1558665375">
      <w:bodyDiv w:val="1"/>
      <w:marLeft w:val="0"/>
      <w:marRight w:val="0"/>
      <w:marTop w:val="0"/>
      <w:marBottom w:val="0"/>
      <w:divBdr>
        <w:top w:val="none" w:sz="0" w:space="0" w:color="auto"/>
        <w:left w:val="none" w:sz="0" w:space="0" w:color="auto"/>
        <w:bottom w:val="none" w:sz="0" w:space="0" w:color="auto"/>
        <w:right w:val="none" w:sz="0" w:space="0" w:color="auto"/>
      </w:divBdr>
    </w:div>
    <w:div w:id="1568026885">
      <w:bodyDiv w:val="1"/>
      <w:marLeft w:val="0"/>
      <w:marRight w:val="0"/>
      <w:marTop w:val="0"/>
      <w:marBottom w:val="0"/>
      <w:divBdr>
        <w:top w:val="none" w:sz="0" w:space="0" w:color="auto"/>
        <w:left w:val="none" w:sz="0" w:space="0" w:color="auto"/>
        <w:bottom w:val="none" w:sz="0" w:space="0" w:color="auto"/>
        <w:right w:val="none" w:sz="0" w:space="0" w:color="auto"/>
      </w:divBdr>
    </w:div>
    <w:div w:id="1660571792">
      <w:bodyDiv w:val="1"/>
      <w:marLeft w:val="0"/>
      <w:marRight w:val="0"/>
      <w:marTop w:val="0"/>
      <w:marBottom w:val="0"/>
      <w:divBdr>
        <w:top w:val="none" w:sz="0" w:space="0" w:color="auto"/>
        <w:left w:val="none" w:sz="0" w:space="0" w:color="auto"/>
        <w:bottom w:val="none" w:sz="0" w:space="0" w:color="auto"/>
        <w:right w:val="none" w:sz="0" w:space="0" w:color="auto"/>
      </w:divBdr>
    </w:div>
    <w:div w:id="1837115726">
      <w:bodyDiv w:val="1"/>
      <w:marLeft w:val="0"/>
      <w:marRight w:val="0"/>
      <w:marTop w:val="0"/>
      <w:marBottom w:val="0"/>
      <w:divBdr>
        <w:top w:val="none" w:sz="0" w:space="0" w:color="auto"/>
        <w:left w:val="none" w:sz="0" w:space="0" w:color="auto"/>
        <w:bottom w:val="none" w:sz="0" w:space="0" w:color="auto"/>
        <w:right w:val="none" w:sz="0" w:space="0" w:color="auto"/>
      </w:divBdr>
    </w:div>
    <w:div w:id="1863933847">
      <w:bodyDiv w:val="1"/>
      <w:marLeft w:val="0"/>
      <w:marRight w:val="0"/>
      <w:marTop w:val="0"/>
      <w:marBottom w:val="0"/>
      <w:divBdr>
        <w:top w:val="none" w:sz="0" w:space="0" w:color="auto"/>
        <w:left w:val="none" w:sz="0" w:space="0" w:color="auto"/>
        <w:bottom w:val="none" w:sz="0" w:space="0" w:color="auto"/>
        <w:right w:val="none" w:sz="0" w:space="0" w:color="auto"/>
      </w:divBdr>
    </w:div>
    <w:div w:id="20943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C660-65FA-4840-9D3B-98C8790E59B5}">
  <ds:schemaRefs>
    <ds:schemaRef ds:uri="http://schemas.openxmlformats.org/officeDocument/2006/bibliography"/>
  </ds:schemaRefs>
</ds:datastoreItem>
</file>

<file path=customXml/itemProps2.xml><?xml version="1.0" encoding="utf-8"?>
<ds:datastoreItem xmlns:ds="http://schemas.openxmlformats.org/officeDocument/2006/customXml" ds:itemID="{5CB7624F-5386-4C9F-A536-14DC349A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7723</Words>
  <Characters>41246</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NOTES EXPLICATIVES</vt:lpstr>
    </vt:vector>
  </TitlesOfParts>
  <Company>Office de la protection du consommateur</Company>
  <LinksUpToDate>false</LinksUpToDate>
  <CharactersWithSpaces>48872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EXPLICATIVES</dc:title>
  <dc:subject/>
  <dc:creator>Maryse Coté</dc:creator>
  <cp:keywords/>
  <dc:description/>
  <cp:lastModifiedBy>Toofaneeram, Nitadevi</cp:lastModifiedBy>
  <cp:revision>4</cp:revision>
  <cp:lastPrinted>2019-01-30T18:58:00Z</cp:lastPrinted>
  <dcterms:created xsi:type="dcterms:W3CDTF">2019-03-01T15:16:00Z</dcterms:created>
  <dcterms:modified xsi:type="dcterms:W3CDTF">2019-03-04T15:55:00Z</dcterms:modified>
</cp:coreProperties>
</file>